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Organized plantations have same liability and powers as towns</w:t>
      </w:r>
    </w:p>
    <w:p>
      <w:pPr>
        <w:jc w:val="both"/>
        <w:spacing w:before="100" w:after="100"/>
        <w:ind w:start="360"/>
        <w:ind w:firstLine="360"/>
      </w:pPr>
      <w:r>
        <w:rPr/>
      </w:r>
      <w:r>
        <w:rPr/>
      </w:r>
      <w:r>
        <w:t xml:space="preserve">Organized plantations have like powers and are subject to like liabilities and penalties as towns, respecting ways. Their assessors have like powers and shall perform like duties as municipal officers of towns, respecting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Organized plantations have same liability and powers as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Organized plantations have same liability and powers as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§2001. ORGANIZED PLANTATIONS HAVE SAME LIABILITY AND POWERS AS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