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Lost or disregarded locations;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§2102. LOST OR DISREGARDED LOCATIONS;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