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Administration</w:t>
      </w:r>
    </w:p>
    <w:p>
      <w:pPr>
        <w:jc w:val="both"/>
        <w:spacing w:before="100" w:after="100"/>
        <w:ind w:start="360"/>
        <w:ind w:firstLine="360"/>
      </w:pPr>
      <w:r>
        <w:rPr/>
      </w:r>
      <w:r>
        <w:rPr/>
      </w:r>
      <w:r>
        <w:t xml:space="preserve">The department shall carry out the functions of this subchapter either with its personnel or through any federal, state or municipal agency having an established organization for conducting relocation assistance programs; and is authorized and empowered to make all contracts and do all things necessary to fulfill the intent and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208, §§17,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1989, c. 208, §§17,21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