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4425</w:t>
        <w:t xml:space="preserve">.  </w:t>
      </w:r>
      <w:r>
        <w:rPr>
          <w:b/>
        </w:rPr>
        <w:t xml:space="preserve">Acquisition of land</w:t>
      </w:r>
    </w:p>
    <w:p>
      <w:pPr>
        <w:jc w:val="both"/>
        <w:spacing w:before="100" w:after="100"/>
        <w:ind w:start="360"/>
        <w:ind w:firstLine="360"/>
      </w:pPr>
      <w:r>
        <w:rPr/>
      </w:r>
      <w:r>
        <w:rPr/>
      </w:r>
      <w:r>
        <w:t xml:space="preserve">Land required for improvement to existing facilities or construction of new facilities undertaken by the Maine Port Authority or in cooperation with the Department of Transportation may be acquired for these purposes in the same manner as provided in </w:t>
      </w:r>
      <w:r>
        <w:t>chapter 3,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649, Pt. 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1993, c. 649, §J4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§4425. Acquisition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§4425. Acquisition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§4425. ACQUISITION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