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4428</w:t>
        <w:t xml:space="preserve">.  </w:t>
      </w:r>
      <w:r>
        <w:rPr>
          <w:b/>
        </w:rPr>
        <w:t xml:space="preserve">Funds received to support marine port linkages</w:t>
      </w:r>
    </w:p>
    <w:p>
      <w:pPr>
        <w:jc w:val="both"/>
        <w:spacing w:before="100" w:after="100"/>
        <w:ind w:start="360"/>
        <w:ind w:firstLine="360"/>
      </w:pPr>
      <w:r>
        <w:rPr/>
      </w:r>
      <w:r>
        <w:rPr/>
      </w:r>
      <w:r>
        <w:t xml:space="preserve">Notwithstanding any other provision of this subchapter, funds paid to the Maine Port Authority as a result of state investments or loans for the development of marine port terminal facilities and associated multimodal infrastructure facilities that directly support marine port operations may be used by the Maine Port Authority, in cooperation with the Department of Transportation, to undertake projects that link the State's marine ports to freight networks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555,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§AA2 (NEW). PL 2021, c. 555,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§4428. Funds received to support marine port linkages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§4428. Funds received to support marine port linkages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§4428. FUNDS RECEIVED TO SUPPORT MARINE PORT LINKAGES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