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4429</w:t>
        <w:t xml:space="preserve">.  </w:t>
      </w:r>
      <w:r>
        <w:rPr>
          <w:b/>
        </w:rPr>
        <w:t xml:space="preserve">Marketing program</w:t>
      </w:r>
    </w:p>
    <w:p>
      <w:pPr>
        <w:jc w:val="both"/>
        <w:spacing w:before="100" w:after="100"/>
        <w:ind w:start="360"/>
        <w:ind w:firstLine="360"/>
      </w:pPr>
      <w:r>
        <w:rPr/>
      </w:r>
      <w:r>
        <w:rPr/>
      </w:r>
      <w:r>
        <w:t xml:space="preserve">The Maine Port Terminal Facilities Marketing Program is established to encourage and promote business opportunities for marine port terminal facilities and associated multimodal infrastructure facilities that directly support marine port operations developed by the Maine Port Authority or the Department of Transportation including facilities in Portland, Searsport and Eastport. The Maine Port Authority shall develop and implement the marketing program.  The authority may enter into agreements or cooperative arrangements with any person or entity for the purpose of increasing the use of marine port terminal facilities and associated multimodal infrastructure facilities that directly support marine port operations developed by the Maine Port Authority or the Department of Transportation. The authority may receive, administer and disburse funds, either independently or in conjunction with state funds allocated for the purpose, as long as funds contributed are used only for the purpose of marketing and economic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2021,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§LLLL1 (NEW). PL 2021, c. 555,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§4429. Marketing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§4429. Marketing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§4429. MARKETING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