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Minor spans</w:t>
      </w:r>
    </w:p>
    <w:p>
      <w:pPr>
        <w:jc w:val="both"/>
        <w:spacing w:before="100" w:after="100"/>
        <w:ind w:start="360"/>
        <w:ind w:firstLine="360"/>
      </w:pPr>
      <w:r>
        <w:rPr/>
      </w:r>
      <w:r>
        <w:rPr/>
      </w:r>
      <w:r>
        <w:t xml:space="preserve">The department has maintenance responsibility and capital responsibility for all minor spans on state aid highways, unless provided otherwise pursuant to </w:t>
      </w:r>
      <w:r>
        <w:t>section 566,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A municipality has maintenance responsibility and capital responsibility for all minor spans on town ways except as provided otherwise pursuant to </w:t>
      </w:r>
      <w:r>
        <w:t>section 566, subsection 5</w:t>
      </w:r>
      <w:r>
        <w:t xml:space="preserve">.  For a minor span located on a town line, the municipalities shall equally share capital responsibility unless the municipalities agree otherwise.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Upon request by a municipality, the department shall provide limited technical advice regarding repair and capital improvement options without assuming any cost of or liability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§564. Minor spans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Minor spans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§564. MINOR SPANS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