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SERVICE CONTRACTS</w:t>
      </w:r>
    </w:p>
    <w:p>
      <w:pPr>
        <w:jc w:val="both"/>
        <w:spacing w:before="100" w:after="100"/>
        <w:ind w:start="1080" w:hanging="720"/>
      </w:pPr>
      <w:r>
        <w:rPr>
          <w:b/>
        </w:rPr>
        <w:t>§</w:t>
        <w:t>7101</w:t>
        <w:t xml:space="preserve">.  </w:t>
      </w:r>
      <w:r>
        <w:rPr>
          <w:b/>
        </w:rPr>
        <w:t xml:space="preserve">Short title; purpose; scope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Service Contracts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chapter is to create a legal framework within which service contracts may be sold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Exclusions.</w:t>
        <w:t xml:space="preserve"> </w:t>
      </w:r>
      <w:r>
        <w:t xml:space="preserve"> </w:t>
      </w:r>
      <w:r>
        <w:t xml:space="preserve">The following types of service contracts are exempt from the provisions of this Title, including the other provisions of this chapter:</w:t>
      </w:r>
    </w:p>
    <w:p>
      <w:pPr>
        <w:jc w:val="both"/>
        <w:spacing w:before="100" w:after="0"/>
        <w:ind w:start="720"/>
      </w:pPr>
      <w:r>
        <w:rPr/>
        <w:t>A</w:t>
        <w:t xml:space="preserve">.  </w:t>
      </w:r>
      <w:r>
        <w:rPr/>
      </w:r>
      <w:r>
        <w:t xml:space="preserve">Warranties;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Maintenance agreements;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Warranties, service contracts or maintenance agreements offered by public utilities on their transmission devices to the extent they are regulated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Service contracts sold or offered for sale to persons other than consumers;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Service contracts on tangible personal property when the tangible personal property for which the service contract is sold has a purchase price of $100 or less, exclusive of sales tax;</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Road or tourist service contracts under </w:t>
      </w:r>
      <w:r>
        <w:t>section 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Home service contracts under </w:t>
      </w:r>
      <w:r>
        <w:t>section 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H</w:t>
        <w:t xml:space="preserve">.  </w:t>
      </w:r>
      <w:r>
        <w:rPr/>
      </w:r>
      <w:r>
        <w:t xml:space="preserve">Warranties, service contracts and maintenance agreements that are conditioned upon or otherwise associated with the sale or supply of heating fuel.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Limited exclusions.</w:t>
        <w:t xml:space="preserve"> </w:t>
      </w:r>
      <w:r>
        <w:t xml:space="preserve"> </w:t>
      </w:r>
      <w:r>
        <w:t xml:space="preserve">The application of this chapter to the following is limited as follows.</w:t>
      </w:r>
    </w:p>
    <w:p>
      <w:pPr>
        <w:jc w:val="both"/>
        <w:spacing w:before="100" w:after="0"/>
        <w:ind w:start="720"/>
      </w:pPr>
      <w:r>
        <w:rPr/>
        <w:t>A</w:t>
        <w:t xml:space="preserve">.  </w:t>
      </w:r>
      <w:r>
        <w:rPr/>
      </w:r>
      <w:r>
        <w:t xml:space="preserve">Service contracts under which a motor vehicle dealer licensed pursuant to </w:t>
      </w:r>
      <w:r>
        <w:t>Title 29‑A, chapter 9</w:t>
      </w:r>
      <w:r>
        <w:t xml:space="preserve"> is obligated to perform and that are sold in connection with the sale or service of a motor vehicle as defined in </w:t>
      </w:r>
      <w:r>
        <w:t>Title 29‑A, section 101, subsection 42</w:t>
      </w:r>
      <w:r>
        <w:t xml:space="preserve"> are exempt from the requirements of </w:t>
      </w:r>
      <w:r>
        <w:t>section 7103, subsection 5</w:t>
      </w:r>
      <w:r>
        <w:t xml:space="preserve"> but must comply with all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motor vehicle manufacturer's service contracts on the motor vehicle manufacturer's products must comply only with </w:t>
      </w:r>
      <w:r>
        <w:t>section 7103, subsection 7</w:t>
      </w:r>
      <w:r>
        <w:t xml:space="preserve">; </w:t>
      </w:r>
      <w:r>
        <w:t>section 7105, subsection 1</w:t>
      </w:r>
      <w:r>
        <w:t xml:space="preserve"> and </w:t>
      </w:r>
      <w:r>
        <w:t>subsections 4</w:t>
      </w:r>
      <w:r>
        <w:t xml:space="preserve"> to </w:t>
      </w:r>
      <w:r>
        <w:t>13</w:t>
      </w:r>
      <w:r>
        <w:t xml:space="preserve">; </w:t>
      </w:r>
      <w:r>
        <w:t>section 7109</w:t>
      </w:r>
      <w:r>
        <w:t xml:space="preserve">; and </w:t>
      </w:r>
      <w:r>
        <w:t>section 7110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The types of agreements referred to in </w:t>
      </w:r>
      <w:r>
        <w:t>subsections 3</w:t>
      </w:r>
      <w:r>
        <w:t xml:space="preserve"> and </w:t>
      </w:r>
      <w:r>
        <w:t>4</w:t>
      </w:r>
      <w:r>
        <w:t xml:space="preserve"> and service contracts governed by this chapter are not insurance and are not required to comply with any provision of the insurance laws of this State other than as expressly made applicable in this chapter as long as the service contract provider and administrator have registered with the superintendent as required by </w:t>
      </w:r>
      <w:r>
        <w:t>section 7103,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jc w:val="both"/>
        <w:spacing w:before="100" w:after="100"/>
        <w:ind w:start="1080" w:hanging="720"/>
      </w:pPr>
      <w:r>
        <w:rPr>
          <w:b/>
        </w:rPr>
        <w:t>§</w:t>
        <w:t>7103</w:t>
        <w:t xml:space="preserve">.  </w:t>
      </w:r>
      <w:r>
        <w:rPr>
          <w:b/>
        </w:rPr>
        <w:t xml:space="preserve">Requirements for doing business</w:t>
      </w:r>
    </w:p>
    <w:p>
      <w:pPr>
        <w:jc w:val="both"/>
        <w:spacing w:before="100" w:after="0"/>
        <w:ind w:start="360"/>
        <w:ind w:firstLine="360"/>
      </w:pPr>
      <w:r>
        <w:rPr>
          <w:b/>
        </w:rPr>
        <w:t>1</w:t>
        <w:t xml:space="preserve">.  </w:t>
      </w:r>
      <w:r>
        <w:rPr>
          <w:b/>
        </w:rPr>
        <w:t xml:space="preserve">Administrator.</w:t>
        <w:t xml:space="preserve"> </w:t>
      </w:r>
      <w:r>
        <w:t xml:space="preserve"> </w:t>
      </w:r>
      <w:r>
        <w:t xml:space="preserve">A provider may, but is not required to, appoint an administrator or other designee to be responsible for any or all of the administration of the provider's service contracts and compliance with this chapter.  All administrators of service contracts sold in this State shall register with the superintendent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2</w:t>
        <w:t xml:space="preserve">.  </w:t>
      </w:r>
      <w:r>
        <w:rPr>
          <w:b/>
        </w:rPr>
        <w:t xml:space="preserve">Provision of receipt and copy of contract.</w:t>
        <w:t xml:space="preserve"> </w:t>
      </w:r>
      <w:r>
        <w:t xml:space="preserve"> </w:t>
      </w:r>
      <w:r>
        <w:t xml:space="preserve">A service contract may not be issued, sold or offered for sale in this State unless the provider has:</w:t>
      </w:r>
    </w:p>
    <w:p>
      <w:pPr>
        <w:jc w:val="both"/>
        <w:spacing w:before="100" w:after="0"/>
        <w:ind w:start="720"/>
      </w:pPr>
      <w:r>
        <w:rPr/>
        <w:t>A</w:t>
        <w:t xml:space="preserve">.  </w:t>
      </w:r>
      <w:r>
        <w:rPr/>
      </w:r>
      <w:r>
        <w:t xml:space="preserve">Registered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Provided a receipt for, or other written evidence of, the purchase of the service contract to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Provided a copy of the service contract to the service contract holder within a reasonable period of time from the date of purchase;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Complied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Sample copy before sale.</w:t>
        <w:t xml:space="preserve"> </w:t>
      </w:r>
      <w:r>
        <w:t xml:space="preserve"> </w:t>
      </w:r>
      <w:r>
        <w:t xml:space="preserve">A provider shall make a complete sample copy of the service contract terms and conditions available for inspection by a consumer prior to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Registration.</w:t>
        <w:t xml:space="preserve"> </w:t>
      </w:r>
      <w:r>
        <w:t xml:space="preserve"> </w:t>
      </w:r>
      <w:r>
        <w:t xml:space="preserve">A provider or administrator of service contracts issued, sold or offered for sale in this State shall apply for registration with the superintendent on a form prescribed by the superintendent, providing the registrant's name, full business address, telephone number and contact person and designating an agent in this State for service of process. The registration must be updated by written notification to the superintendent if changes occur in the registration on file.</w:t>
      </w:r>
    </w:p>
    <w:p>
      <w:pPr>
        <w:jc w:val="both"/>
        <w:spacing w:before="100" w:after="0"/>
        <w:ind w:start="720"/>
      </w:pPr>
      <w:r>
        <w:rPr/>
        <w:t>A</w:t>
        <w:t xml:space="preserve">.  </w:t>
      </w:r>
      <w:r>
        <w:rPr/>
      </w:r>
      <w:r>
        <w:t xml:space="preserve">The registrant shall pay to the superintendent a fee as set forth in </w:t>
      </w:r>
      <w:r>
        <w:t>section 601, subsection 30</w:t>
      </w:r>
      <w:r>
        <w:t xml:space="preserve"> upon initial registration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[RR 2011, c. 1, §44 (COR).]</w:t>
      </w:r>
    </w:p>
    <w:p>
      <w:pPr>
        <w:jc w:val="both"/>
        <w:spacing w:before="100" w:after="0"/>
        <w:ind w:start="720"/>
      </w:pPr>
      <w:r>
        <w:rPr/>
        <w:t>B</w:t>
        <w:t xml:space="preserve">.  </w:t>
      </w:r>
      <w:r>
        <w:rPr/>
      </w:r>
      <w:r>
        <w:t xml:space="preserve">A registrant whose registration has terminated shall send notice within 15 days as follows:</w:t>
      </w:r>
    </w:p>
    <w:p>
      <w:pPr>
        <w:jc w:val="both"/>
        <w:spacing w:before="100" w:after="0"/>
        <w:ind w:start="1080"/>
      </w:pPr>
      <w:r>
        <w:rPr/>
        <w:t>(</w:t>
        <w:t>1</w:t>
        <w:t xml:space="preserve">)  </w:t>
      </w:r>
      <w:r>
        <w:rPr/>
      </w:r>
      <w:r>
        <w:t xml:space="preserve">To all in-force service contract holders, if the registrant is a provider.  Such registrant shall also cease issuing new service contracts in this State and may not renew existing service contracts unless authorized by the terms of a run-off plan approved by the superintendent; and</w:t>
      </w:r>
    </w:p>
    <w:p>
      <w:pPr>
        <w:jc w:val="both"/>
        <w:spacing w:before="100" w:after="0"/>
        <w:ind w:start="1080"/>
      </w:pPr>
      <w:r>
        <w:rPr/>
        <w:t>(</w:t>
        <w:t>2</w:t>
        <w:t xml:space="preserve">)  </w:t>
      </w:r>
      <w:r>
        <w:rPr/>
      </w:r>
      <w:r>
        <w:t xml:space="preserve">To all providers for which it acts as an administrator, and to all in-force service contract holders of those providers, if the registrant is an administrator.  Such registrant shall also cease acting as an administrator as to all service contract programs that it has contracted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This section may not be construed to require a provider or administrator to apply for and obtain a license under </w:t>
      </w:r>
      <w:r>
        <w:t>chapter 16,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w:t>
      </w:r>
    </w:p>
    <w:p>
      <w:pPr>
        <w:jc w:val="both"/>
        <w:spacing w:before="100" w:after="100"/>
        <w:ind w:start="360"/>
        <w:ind w:firstLine="360"/>
      </w:pPr>
      <w:r>
        <w:rPr>
          <w:b/>
        </w:rPr>
        <w:t>5</w:t>
        <w:t xml:space="preserve">.  </w:t>
      </w:r>
      <w:r>
        <w:rPr>
          <w:b/>
        </w:rPr>
        <w:t xml:space="preserve">Provider's obligations.</w:t>
        <w:t xml:space="preserve"> </w:t>
      </w:r>
      <w:r>
        <w:t xml:space="preserve"> </w:t>
      </w:r>
      <w:r>
        <w:t xml:space="preserve">To ensure the performance of the provider's obligations to its service contract holders, the provider shall either:</w:t>
      </w:r>
    </w:p>
    <w:p>
      <w:pPr>
        <w:jc w:val="both"/>
        <w:spacing w:before="100" w:after="0"/>
        <w:ind w:start="720"/>
      </w:pPr>
      <w:r>
        <w:rPr/>
        <w:t>A</w:t>
        <w:t xml:space="preserve">.  </w:t>
      </w:r>
      <w:r>
        <w:rPr/>
      </w:r>
      <w:r>
        <w:t xml:space="preserve">Insure all service contracts under a reimbursement insurance policy filed with the superintendent and issued by an insurer authorized to transact casualty insurance in this State, purchased through a risk retention group registered with the superintendent, or issued pursuant to </w:t>
      </w:r>
      <w:r>
        <w:t>chapter 19</w:t>
      </w:r>
      <w:r>
        <w:t xml:space="preserve"> by an eligible surplus lines insurer that agrees in writing to comply with the terms of this chapter and to submit to the jurisdiction of the superintendent for purposes of enforcing this chapter, as long as such insurer or risk retention group either:</w:t>
      </w:r>
    </w:p>
    <w:p>
      <w:pPr>
        <w:jc w:val="both"/>
        <w:spacing w:before="100" w:after="0"/>
        <w:ind w:start="1080"/>
      </w:pPr>
      <w:r>
        <w:rPr/>
        <w:t>(</w:t>
        <w:t>1</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$15,000,000; and</w:t>
      </w:r>
    </w:p>
    <w:p>
      <w:pPr>
        <w:jc w:val="both"/>
        <w:spacing w:before="100" w:after="0"/>
        <w:ind w:start="1440"/>
      </w:pPr>
      <w:r>
        <w:rPr/>
        <w:t>(</w:t>
        <w:t>b</w:t>
        <w:t xml:space="preserve">)  </w:t>
      </w:r>
      <w:r>
        <w:rPr/>
      </w:r>
      <w:r>
        <w:t xml:space="preserve">Files annually copies of the insurer's or risk retention group's as audited financial statements, its annual statement under </w:t>
      </w:r>
      <w:r>
        <w:t>section 423</w:t>
      </w:r>
      <w:r>
        <w:t xml:space="preserve"> and the actuarial certification required by and filed in the insurer's state of domicile; or</w:t>
      </w:r>
    </w:p>
    <w:p>
      <w:pPr>
        <w:jc w:val="both"/>
        <w:spacing w:before="100" w:after="0"/>
        <w:ind w:start="1080"/>
      </w:pPr>
      <w:r>
        <w:rPr/>
        <w:t>(</w:t>
        <w:t>2</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$10,000,000;</w:t>
      </w:r>
    </w:p>
    <w:p>
      <w:pPr>
        <w:jc w:val="both"/>
        <w:spacing w:before="100" w:after="0"/>
        <w:ind w:start="1440"/>
      </w:pPr>
      <w:r>
        <w:rPr/>
        <w:t>(</w:t>
        <w:t>b</w:t>
        <w:t xml:space="preserve">)  </w:t>
      </w:r>
      <w:r>
        <w:rPr/>
      </w:r>
      <w:r>
        <w:t xml:space="preserve">Demonstrates to the satisfaction of the superintendent that the insurer maintains a ratio of net written premiums, wherever written, to surplus as to policyholders and paid-in capital of not greater than 3 to 1; and</w:t>
      </w:r>
    </w:p>
    <w:p>
      <w:pPr>
        <w:jc w:val="both"/>
        <w:spacing w:before="100" w:after="0"/>
        <w:ind w:start="1440"/>
      </w:pPr>
      <w:r>
        <w:rPr/>
        <w:t>(</w:t>
        <w:t>c</w:t>
        <w:t xml:space="preserve">)  </w:t>
      </w:r>
      <w:r>
        <w:rPr/>
      </w:r>
      <w:r>
        <w:t xml:space="preserve">Files annually copies of the insurer's audited financial statements, its annual statement under </w:t>
      </w:r>
      <w:r>
        <w:t>section 423</w:t>
      </w:r>
      <w:r>
        <w:t xml:space="preserve"> and the actuarial certification required by and filed in the insurer's state of domicile;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Maintains, or together with its parent company maintains, a tangible net worth of at least $100,000,000 and upon request provides the superintendent with a copy of the provider's or, if the provider's financial statements are consolidated with those of its parent company, the provider's parent company's most recent Form 10-K or Form 20-F annual report filed with the United States Securities and Exchange Commission within the last calendar year or, if the company does not file with the United States Securities and Exchange Commission, a copy of the company's audited financial statements that shows a tangible net worth of the provider or its parent company of at least $100,000,000. If the provider's parent company's Form 10-K or Form 20-F annual report or financial statements are filed to meet the provider's financial stability requirement, the parent company shall agree, on a form approved by the superintendent, to guarantee the obligations of the provider relating to service contracts sold by the provider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Other financial security requirements.</w:t>
        <w:t xml:space="preserve"> </w:t>
      </w:r>
      <w:r>
        <w:t xml:space="preserve"> </w:t>
      </w:r>
      <w:r>
        <w:t xml:space="preserve">Except for the requirements specified in </w:t>
      </w:r>
      <w:r>
        <w:t>subsections 4</w:t>
      </w:r>
      <w:r>
        <w:t xml:space="preserve"> and </w:t>
      </w:r>
      <w:r>
        <w:t>5</w:t>
      </w:r>
      <w:r>
        <w:t xml:space="preserve">, other financial security requirements may not be required by the superintendent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7</w:t>
        <w:t xml:space="preserve">.  </w:t>
      </w:r>
      <w:r>
        <w:rPr>
          <w:b/>
        </w:rPr>
        <w:t xml:space="preserve">Return of service contract.</w:t>
        <w:t xml:space="preserve"> </w:t>
      </w:r>
      <w:r>
        <w:t xml:space="preserve"> </w:t>
      </w:r>
      <w:r>
        <w:t xml:space="preserve">A service contract must require the provider to permit the service contract holder to return the service contract subject to the following conditions.</w:t>
      </w:r>
    </w:p>
    <w:p>
      <w:pPr>
        <w:jc w:val="both"/>
        <w:spacing w:before="100" w:after="0"/>
        <w:ind w:start="720"/>
      </w:pPr>
      <w:r>
        <w:rPr/>
        <w:t>A</w:t>
        <w:t xml:space="preserve">.  </w:t>
      </w:r>
      <w:r>
        <w:rPr/>
      </w:r>
      <w:r>
        <w:t xml:space="preserve">A service contract holder may return a service contract within 20 days of the date the service contract was mailed to the service contract holder or within 10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lienholder if the service contract holder has financed the purchase of the service contract the full provider fee and any sales tax refund required pursuant to state law. The right to void the service contract provided in this subsection is not transferable and applies only to the original service contract purchaser and only if no claim has been made prior to its return to the provider. A monthly penalty equal to 10% of the provider fee outstanding must be added to a refund that is not paid or credited within 45 days after return of the service contract to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After the time period specified in </w:t>
      </w:r>
      <w:r>
        <w:t>paragraph A</w:t>
      </w:r>
      <w:r>
        <w:t xml:space="preserve"> for returning a service contract or if a claim has been made under the service contract within that time period, a service contract holder may cancel the service contract and the provider shall refund to the service contract holder 100% of the unearned pro rata provider fee, less any claims paid. An administrative fee not to exceed 10% of the provider fee paid by the service contract holder may be charged by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8</w:t>
        <w:t xml:space="preserve">.  </w:t>
      </w:r>
      <w:r>
        <w:rPr>
          <w:b/>
        </w:rPr>
        <w:t xml:space="preserve">Premium taxes.</w:t>
        <w:t xml:space="preserve"> </w:t>
      </w:r>
      <w:r>
        <w:t xml:space="preserve"> </w:t>
      </w:r>
      <w:r>
        <w:t xml:space="preserve">Insurance premium taxes under </w:t>
      </w:r>
      <w:r>
        <w:t>Title 36, chapter 357</w:t>
      </w:r>
      <w:r>
        <w:t xml:space="preserve"> apply as follows.</w:t>
      </w:r>
    </w:p>
    <w:p>
      <w:pPr>
        <w:jc w:val="both"/>
        <w:spacing w:before="100" w:after="0"/>
        <w:ind w:start="720"/>
      </w:pPr>
      <w:r>
        <w:rPr/>
        <w:t>A</w:t>
        <w:t xml:space="preserve">.  </w:t>
      </w:r>
      <w:r>
        <w:rPr/>
      </w:r>
      <w:r>
        <w:t xml:space="preserve">Provider fees collected on service contracts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Premiums for reimbursement insurance policies are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Licensing exemption.</w:t>
        <w:t xml:space="preserve"> </w:t>
      </w:r>
      <w:r>
        <w:t xml:space="preserve"> </w:t>
      </w:r>
      <w:r>
        <w:t xml:space="preserve">Except for the registration requirements in </w:t>
      </w:r>
      <w:r>
        <w:t>subsection 4</w:t>
      </w:r>
      <w:r>
        <w:t xml:space="preserve">, a license or registration is not required under this Title to provide, administer, market, sell or offer to sell service contracts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Insurance laws exemption.</w:t>
        <w:t xml:space="preserve"> </w:t>
      </w:r>
      <w:r>
        <w:t xml:space="preserve"> </w:t>
      </w:r>
      <w:r>
        <w:t xml:space="preserve">The marketing, sale, offering for sale, issuance, making, proposing to make and administration of service contracts by providers and related service contract sellers, administrators and other persons are exempt from all provisions of the State's insurance laws, except as specified in this chapter, as long as a service contract provider or administrator has registered with the superintendent as required by </w:t>
      </w:r>
      <w:r>
        <w:t>subsection 4</w:t>
      </w:r>
      <w:r>
        <w:t xml:space="preserve">.  Reimbursement insurance policies are subject to all relevant provisions of this Title to the full extent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 PL 2011, c. 345, §4 (NEW). PL 2011, c. 345, §7 (AFF). </w:t>
      </w:r>
    </w:p>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7107</w:t>
        <w:t xml:space="preserve">.  </w:t>
      </w:r>
      <w:r>
        <w:rPr>
          <w:b/>
        </w:rPr>
        <w:t xml:space="preserve">Cancellation of reimbursement insurance policy</w:t>
      </w:r>
    </w:p>
    <w:p>
      <w:pPr>
        <w:jc w:val="both"/>
        <w:spacing w:before="100" w:after="100"/>
        <w:ind w:start="360"/>
        <w:ind w:firstLine="360"/>
      </w:pPr>
      <w:r>
        <w:rPr/>
      </w:r>
      <w:r>
        <w:rPr/>
      </w:r>
      <w:r>
        <w:t xml:space="preserve">An insurer that issued a reimbursement insurance policy may not cancel or nonrenew the policy for any reason, including at the request of the policyholder, until the insurer has delivered a notice of such action to the superintendent at least 45 days before such action. The cancellation or nonrenewal of a reimbursement insurance policy does not reduce the insurer's obligations as to service contracts issued by providers prior to the date of cancellation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7109</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providers, administrators, insurers or other persons to enforce the provisions of this chapter and protect service contract holders. Upon request of the superintendent, a person subject to this chapter shall make available to the superintendent all accounts, books and records concerning service contracts sold by the provider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Refusal of registration, suspension or revocation.</w:t>
        <w:t xml:space="preserve"> </w:t>
      </w:r>
      <w:r>
        <w:t xml:space="preserve"> </w:t>
      </w:r>
      <w:r>
        <w:t xml:space="preserve">The superintendent may suspend, revoke or refuse to accept the registration of a provider under this chapter as set out in this section.</w:t>
      </w:r>
    </w:p>
    <w:p>
      <w:pPr>
        <w:jc w:val="both"/>
        <w:spacing w:before="100" w:after="0"/>
        <w:ind w:start="720"/>
      </w:pPr>
      <w:r>
        <w:rPr/>
        <w:t>A</w:t>
        <w:t xml:space="preserve">.  </w:t>
      </w:r>
      <w:r>
        <w:rPr/>
      </w:r>
      <w:r>
        <w:t xml:space="preserve">The superintendent shall deny an application for registration if the registrant has not demonstrated that it is qualified to do business in accordance with this chapter or for any reason that would be a ground for suspension or revocation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If, upon investigation or examination, the superintendent finds that a person registered under this chapter in this State has exceeded its powers, has failed to comply with any of the provisions of this chapter, is not fulfilling its service contracts in good faith or is conducting its business fraudulently or in a manner injurious to its contract holders or the public, the superintendent shall notify the person of the deficiency or deficiencies and state in writing the reasons that warrant suspension, revocation or refusal of the person's registration. The notice must require that the deficiency or deficiencies be corrected.</w:t>
      </w:r>
    </w:p>
    <w:p>
      <w:pPr>
        <w:jc w:val="both"/>
        <w:spacing w:before="100" w:after="0"/>
        <w:ind w:start="720"/>
      </w:pPr>
      <w:r>
        <w:rPr/>
      </w:r>
      <w:r>
        <w:rPr/>
      </w:r>
      <w:r>
        <w:t xml:space="preserve">After receipt of the notice, the person has 30 days to comply with the superintendent's request for correction, and if the person fails to comply the superintendent shall notify the person of the findings of noncompliance and require the person to show cause, on a date set by the superintendent, why its registration should not be suspended, revoked or refused. If on that date the person does not present good and sufficient reason why its authority to do business in this State should not be suspended, revoked or refused, the superintendent may suspend or refuse the registration of the person to do business in this State until satisfactory evidence is furnished to the superintendent that the suspension or refusal should be withdrawn or the superintendent may revoke the authority of the person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Service of process.</w:t>
        <w:t xml:space="preserve"> </w:t>
      </w:r>
      <w:r>
        <w:t xml:space="preserve"> </w:t>
      </w:r>
      <w:r>
        <w:t xml:space="preserve">A provider and administrator registered under this chapter shall appoint in writing an agent located in the State in the same manner as insurers are required to appoint agents under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Construction; existing contracts.</w:t>
        <w:t xml:space="preserve"> </w:t>
      </w:r>
      <w:r>
        <w:t xml:space="preserve"> </w:t>
      </w:r>
      <w:r>
        <w:t xml:space="preserve">This section may not be construed as preventing any provider from continuing in good faith all service contracts made in this State during the time the provider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7111</w:t>
        <w:t xml:space="preserve">.  </w:t>
      </w:r>
      <w:r>
        <w:rPr>
          <w:b/>
        </w:rPr>
        <w:t xml:space="preserve">Rule-making authority</w:t>
      </w:r>
    </w:p>
    <w:p>
      <w:pPr>
        <w:jc w:val="both"/>
        <w:spacing w:before="100" w:after="100"/>
        <w:ind w:start="360"/>
        <w:ind w:firstLine="360"/>
      </w:pPr>
      <w:r>
        <w:rPr/>
      </w:r>
      <w:r>
        <w:rPr/>
      </w:r>
      <w:r>
        <w:t xml:space="preserve">The superintendent may adopt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91.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