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1427-A</w:t>
        <w:t xml:space="preserve">.  </w:t>
      </w:r>
      <w:r>
        <w:rPr>
          <w:b/>
        </w:rPr>
        <w:t xml:space="preserve">Exemption from examination requirement</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adjuster or consultant license in this State who was previously licensed as such in another state is not required to complete any prelicensing education or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adjuster or consultant is or was licensed in good standing for the type of license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adjuster or consultant in another state who moves to this State must apply within 90 days of establishing legal residence to become a resident licensee.  Prelicensing education or examination is not required of that person to obtain the adjuster or consultant license type previously held in the prior state except when the superintendent determines otherwise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3</w:t>
        <w:t xml:space="preserve">.  </w:t>
      </w:r>
      <w:r>
        <w:rPr>
          <w:b/>
        </w:rPr>
        <w:t xml:space="preserve">Other exemptions.</w:t>
        <w:t xml:space="preserve"> </w:t>
      </w:r>
      <w:r>
        <w:t xml:space="preserve"> </w:t>
      </w:r>
      <w:r>
        <w:t xml:space="preserve">An examination is not required of an applicant for the same type of license that the applicant previously held in this State within the past 2 years, other than a temporary license.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§1427-A. Exemption from examination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§1427-A. Exemption from examination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§1427-A. EXEMPTION FROM EXAMINATION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