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Qualifications for adjuster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superintendent may not issue, continue or permit to exist any license as an adjuster, except in compliance with this chapter or unless the person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In order to be licensed as an insurance adjuster, a person:</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Must be competent, trustworthy, financially responsible, and of good personal and business reputation; and</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Must pass any written examination required for the license under </w:t>
      </w:r>
      <w:r>
        <w:t>subchapter 2</w:t>
      </w:r>
      <w:r>
        <w:t xml:space="preserve"> or maintain federal crop insurance certification in the case of multiple peril crop insurance adjusters who established license qualification through such certification.</w:t>
      </w:r>
      <w:r>
        <w:t xml:space="preserve">  </w:t>
      </w:r>
      <w:r xmlns:wp="http://schemas.openxmlformats.org/drawingml/2010/wordprocessingDrawing" xmlns:w15="http://schemas.microsoft.com/office/word/2012/wordml">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§42 (AMD). PL 2001, c. 259, §44 (AMD). PL 2009, c. 511, Pt.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§1472. Qualifications for adjuster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Qualifications for adjuster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§1472. QUALIFICATIONS FOR ADJUSTER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