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1481-A</w:t>
        <w:t xml:space="preserve">.  </w:t>
      </w:r>
      <w:r>
        <w:rPr>
          <w:b/>
        </w:rPr>
        <w:t xml:space="preserve">Applicability of subchapter</w:t>
      </w:r>
    </w:p>
    <w:p>
      <w:pPr>
        <w:jc w:val="both"/>
        <w:spacing w:before="100" w:after="0"/>
        <w:ind w:start="360"/>
        <w:ind w:firstLine="360"/>
      </w:pPr>
      <w:r>
        <w:rPr>
          <w:b/>
        </w:rPr>
        <w:t>1</w:t>
        <w:t xml:space="preserve">.  </w:t>
      </w:r>
      <w:r>
        <w:rPr>
          <w:b/>
        </w:rPr>
        <w:t xml:space="preserve">Applicability.</w:t>
        <w:t xml:space="preserve"> </w:t>
      </w:r>
      <w:r>
        <w:t xml:space="preserve"> </w:t>
      </w:r>
      <w:r>
        <w:t xml:space="preserve">This subchapter applies to licensed producers and licensed consultants.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w:t>
      </w:r>
    </w:p>
    <w:p>
      <w:pPr>
        <w:jc w:val="both"/>
        <w:spacing w:before="100" w:after="0"/>
        <w:ind w:start="360"/>
        <w:ind w:firstLine="360"/>
      </w:pPr>
      <w:r>
        <w:rPr>
          <w:b/>
        </w:rPr>
        <w:t>2</w:t>
        <w:t xml:space="preserve">.  </w:t>
      </w:r>
      <w:r>
        <w:rPr>
          <w:b/>
        </w:rPr>
        <w:t xml:space="preserve">Exceptions.</w:t>
        <w:t xml:space="preserve"> </w:t>
      </w:r>
      <w:r>
        <w:t xml:space="preserve"> </w:t>
      </w:r>
      <w:r>
        <w:t xml:space="preserve">Except for limited licenses for the sale of annuities, this subchapter does not apply to persons holding only limited licenses under </w:t>
      </w:r>
      <w:r>
        <w:t>section 1416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§1481-A. Applicability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§1481-A. Applicability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§1481-A. APPLICABILITY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