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Criminal convictions</w:t>
      </w:r>
    </w:p>
    <w:p>
      <w:pPr>
        <w:jc w:val="both"/>
        <w:spacing w:before="100" w:after="100"/>
        <w:ind w:start="360"/>
        <w:ind w:firstLine="360"/>
      </w:pPr>
      <w:r>
        <w:rPr/>
      </w:r>
      <w:r>
        <w:rPr/>
      </w:r>
      <w:r>
        <w:t xml:space="preserve">Any administrator and any individual listed on the application, as required by </w:t>
      </w:r>
      <w:r>
        <w:t>section 1903</w:t>
      </w:r>
      <w:r>
        <w:t xml:space="preserve">, who is convicted of a crime punishable by imprisonment for more than one year shall report that conviction to the superintendent within 30 days after judgment is entered.  Within that 30-day period, the administrator shall also provide the superintendent with a copy of the judgment and any commitment order and any other relevant documents relating to disposition of the criminal action.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Criminal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Criminal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§1908. CRIMINAL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