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False applications, claims, proofs of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§2178. FALSE APPLICATIONS, CLAIMS, PROOFS OF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