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2185</w:t>
        <w:t xml:space="preserve">.  </w:t>
      </w:r>
      <w:r>
        <w:rPr>
          <w:b/>
        </w:rPr>
        <w:t xml:space="preserve">Calculation of health benefits based on actual cost</w:t>
      </w:r>
    </w:p>
    <w:p>
      <w:pPr>
        <w:jc w:val="both"/>
        <w:spacing w:before="100" w:after="100"/>
        <w:ind w:start="360"/>
        <w:ind w:firstLine="360"/>
      </w:pPr>
      <w:r>
        <w:rPr/>
      </w:r>
      <w:r>
        <w:rPr/>
      </w:r>
      <w:r>
        <w:t xml:space="preserve">All health insurance policies, health maintenance organization plans and subscriber contracts or certificates of nonprofit hospital or medical service organizations with respect to which the insurer or organization has negotiated discounts with providers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or plans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r>
        <w:t xml:space="preserve">  </w:t>
      </w:r>
      <w:r xmlns:wp="http://schemas.openxmlformats.org/drawingml/2010/wordprocessingDrawing" xmlns:w15="http://schemas.microsoft.com/office/word/2012/wordml">
        <w:rPr>
          <w:rFonts w:ascii="Arial" w:hAnsi="Arial" w:cs="Arial"/>
          <w:sz w:val="22"/>
          <w:szCs w:val="22"/>
        </w:rPr>
        <w:t xml:space="preserve">[PL 1997,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§2185. Calculation of health benefits based on actual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§2185. Calculation of health benefits based on actual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§2185. CALCULATION OF HEALTH BENEFITS BASED ON ACTUAL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