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Information concerning previous adverse underwriting decisions</w:t>
      </w:r>
    </w:p>
    <w:p>
      <w:pPr>
        <w:jc w:val="both"/>
        <w:spacing w:before="100" w:after="100"/>
        <w:ind w:start="360"/>
        <w:ind w:firstLine="360"/>
      </w:pPr>
      <w:r>
        <w:rPr/>
      </w:r>
      <w:r>
        <w:rPr/>
      </w:r>
      <w:r>
        <w:t xml:space="preserve">Unless an inquiry of a regulated insurance entity or insurance support organization also requests the reasons for the underwriting decision or placement, a regulated insurance entity or insurance support organization may not seek information in connection with an insurance transaction concerning: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decision.</w:t>
        <w:t xml:space="preserve"> </w:t>
      </w:r>
      <w:r>
        <w:t xml:space="preserve"> </w:t>
      </w:r>
      <w:r>
        <w:t xml:space="preserve">Any previous adverse underwriting decision experienced by an insurance consumer;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Residual market, surplus lines or substandard risk carrier.</w:t>
        <w:t xml:space="preserve"> </w:t>
      </w:r>
      <w:r>
        <w:t xml:space="preserve"> </w:t>
      </w:r>
      <w:r>
        <w:t xml:space="preserve">Any previous insurance coverage obtained by a consumer through a residual market, a surplus lines insurer or a carrier that specializes in substandard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Information concerning previous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Information concerning previous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§2213. INFORMATION CONCERNING PREVIOUS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