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2382-C</w:t>
        <w:t xml:space="preserve">.  </w:t>
      </w:r>
      <w:r>
        <w:rPr>
          <w:b/>
        </w:rPr>
        <w:t xml:space="preserve">Filing of rates and other rating information; filing of forms</w:t>
      </w:r>
    </w:p>
    <w:p>
      <w:pPr>
        <w:jc w:val="both"/>
        <w:spacing w:before="100" w:after="0"/>
        <w:ind w:start="360"/>
        <w:ind w:firstLine="360"/>
      </w:pPr>
      <w:r>
        <w:rPr>
          <w:b/>
        </w:rPr>
        <w:t>1</w:t>
        <w:t xml:space="preserve">.  </w:t>
      </w:r>
      <w:r>
        <w:rPr>
          <w:b/>
        </w:rPr>
        <w:t xml:space="preserve">Prefiling required.</w:t>
        <w:t xml:space="preserve"> </w:t>
      </w:r>
      <w:r>
        <w:t xml:space="preserve"> </w:t>
      </w:r>
      <w:r>
        <w:t xml:space="preserve">Every insurer shall file with the superintendent all rates and supplementary rate information to be used in the State, except as filed by an advisory organization as provided in </w:t>
      </w:r>
      <w:r>
        <w:t>section 2384‑A</w:t>
      </w:r>
      <w:r>
        <w:t xml:space="preserve">.  Such rates and supplementary rate information must be filed at least 30 days prior to the stated effective date.  An insurer may adopt by reference, with or without deviation, the rates and supplementary rate information filed by another insurer.  Upon application by the filer, the superintendent may authorize an earlier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Form and manner of filing.</w:t>
        <w:t xml:space="preserve"> </w:t>
      </w:r>
      <w:r>
        <w:t xml:space="preserve"> </w:t>
      </w:r>
      <w:r>
        <w:t xml:space="preserve">Rates filed pursuant to this section must be filed in a form prescribed by the superintendent.  If a filing is not accompanied by the information the superintendent has required under this section, the superintendent shall notify the insurer as soon as possible and the filing is deemed as not made until the information is provided.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§2 (AMD).]</w:t>
      </w:r>
    </w:p>
    <w:p>
      <w:pPr>
        <w:jc w:val="both"/>
        <w:spacing w:before="100" w:after="0"/>
        <w:ind w:start="360"/>
        <w:ind w:firstLine="360"/>
      </w:pPr>
      <w:r>
        <w:rPr>
          <w:b/>
        </w:rPr>
        <w:t>3</w:t>
        <w:t xml:space="preserve">.  </w:t>
      </w:r>
      <w:r>
        <w:rPr>
          <w:b/>
        </w:rPr>
        <w:t xml:space="preserve">Public records.</w:t>
        <w:t xml:space="preserve"> </w:t>
      </w:r>
      <w:r>
        <w:t xml:space="preserve"> </w:t>
      </w:r>
      <w:r>
        <w:t xml:space="preserve">All rates, supplementary rate information and any supporting information for risks filed under this Act are, as soon as filed, public records within the meaning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Additional period.</w:t>
        <w:t xml:space="preserve"> </w:t>
      </w:r>
      <w:r>
        <w:t xml:space="preserve"> </w:t>
      </w:r>
      <w:r>
        <w:t xml:space="preserve">The period during which the filing may not become effective may be extended by the superintendent for an additional period not to exceed 60 days if the superintendent gives written notice to the insurer or advisory organization that made the filing that the superintendent needs additional time for consideration of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Advisory organization.</w:t>
        <w:t xml:space="preserve"> </w:t>
      </w:r>
      <w:r>
        <w:t xml:space="preserve"> </w:t>
      </w:r>
      <w:r>
        <w:t xml:space="preserve">Subject to the provisions of this Act, the designated workers' compensation and advisory organization shall file with the superintendent:</w:t>
      </w:r>
    </w:p>
    <w:p>
      <w:pPr>
        <w:jc w:val="both"/>
        <w:spacing w:before="100" w:after="0"/>
        <w:ind w:start="720"/>
      </w:pPr>
      <w:r>
        <w:rPr/>
        <w:t>A</w:t>
        <w:t xml:space="preserve">.  </w:t>
      </w:r>
      <w:r>
        <w:rPr/>
      </w:r>
      <w:r>
        <w:t xml:space="preserve">Workers' compensation pure premium rates and rating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Workers' compensation policy forms and endorsements to be used by its members;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uniform experience rating plans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The uniform classification plan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A uniform statistical plan and rules;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Any other information that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Approved forms.</w:t>
        <w:t xml:space="preserve"> </w:t>
      </w:r>
      <w:r>
        <w:t xml:space="preserve"> </w:t>
      </w:r>
      <w:r>
        <w:t xml:space="preserve">Every insurance company issuing workers' compensation insurance policies covering the payment of compensation and benefits shall use only policy forms filed and approved pursuant to </w:t>
      </w:r>
      <w:r>
        <w:t>section 2412</w:t>
      </w:r>
      <w:r>
        <w:t xml:space="preserve">.  Filings required by that section may be made on behalf of members and subscribers by an approved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2009, c. 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§2382-C. Filing of rates and other rating information; filing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§2382-C. Filing of rates and other rating information; filing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§2382-C. FILING OF RATES AND OTHER RATING INFORMATION; FILING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