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2387-B</w:t>
        <w:t xml:space="preserve">.  </w:t>
      </w:r>
      <w:r>
        <w:rPr>
          <w:b/>
        </w:rPr>
        <w:t xml:space="preserve">Savings provision</w:t>
      </w:r>
    </w:p>
    <w:p>
      <w:pPr>
        <w:jc w:val="both"/>
        <w:spacing w:before="100" w:after="100"/>
        <w:ind w:start="360"/>
        <w:ind w:firstLine="360"/>
      </w:pPr>
      <w:r>
        <w:rPr/>
      </w:r>
      <w:r>
        <w:rPr/>
      </w:r>
      <w:r>
        <w:t xml:space="preserve">Any experience rating, classification, statistical or other rating plan on file and approved or legally in effect and not required to be revised by this Act or by a decision of the superintendent remains approved for use in the State.  These plans need not be refiled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100"/>
        <w:ind w:start="360"/>
        <w:ind w:firstLine="360"/>
      </w:pPr>
      <w:r>
        <w:rPr/>
      </w:r>
      <w:r>
        <w:rPr/>
      </w:r>
      <w:r>
        <w:t xml:space="preserve">Any rates or forms approved for an insurer on file and approved or legally in effect and not required to be revised by this Act or by a decision of the superintendent remain approved for use in the State.  These rates and forms need not be refiled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§2387-B. Savings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§2387-B. Savings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§2387-B. SAVINGS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