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2387</w:t>
        <w:t xml:space="preserve">.  </w:t>
      </w:r>
      <w:r>
        <w:rPr>
          <w:b/>
        </w:rPr>
        <w:t xml:space="preserve">Penalty for violations</w:t>
      </w:r>
    </w:p>
    <w:p>
      <w:pPr>
        <w:jc w:val="both"/>
        <w:spacing w:before="100" w:after="0"/>
        <w:ind w:start="360"/>
        <w:ind w:firstLine="360"/>
      </w:pPr>
      <w:r>
        <w:rPr>
          <w:b/>
        </w:rPr>
        <w:t>1</w:t>
        <w:t xml:space="preserve">.  </w:t>
      </w:r>
      <w:r>
        <w:rPr>
          <w:b/>
        </w:rPr>
        <w:t xml:space="preserve">Civil penalties.</w:t>
        <w:t xml:space="preserve"> </w:t>
      </w:r>
      <w:r>
        <w:t xml:space="preserve"> </w:t>
      </w:r>
      <w:r>
        <w:t xml:space="preserve">A person or organization in violation of this chapter must be assessed by the superintendent a civil penalty not more than $1,000 for each violation, except that where a violation is willful, a civil penalty of not more than $10,000 must be assessed for each violation.  These penalties may be in addition to any other penalty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Separate violation.</w:t>
        <w:t xml:space="preserve"> </w:t>
      </w:r>
      <w:r>
        <w:t xml:space="preserve"> </w:t>
      </w:r>
      <w:r>
        <w:t xml:space="preserve">For purposes of this section, an insurer using a rate for which that insurer has failed to file the rate, supplementary rate information or supporting information as required by this subchapter, has committed a separate violation for each day that failure continues.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License.</w:t>
        <w:t xml:space="preserve"> </w:t>
      </w:r>
      <w:r>
        <w:t xml:space="preserve"> </w:t>
      </w:r>
      <w:r>
        <w:t xml:space="preserve">The license of an advisory organization, rating organization or insurer that fails to comply with an order of the superintendent may be suspended or revoked by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§2387. Penalty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§2387. Penalty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§2387. PENALTY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