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2832-A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§33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group or blanket health insurance policies or contracts issued by any insurer operating pursuant to this chapter must make available to group policyholders the option for additional benefits for the domestic partner of a certificate holder, at appropriate rates and under the same terms and conditions as those benefits or options for benefits are provided to spouses of married certificate holders covered under a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or group policyholder may require a certificate holder and the certificate holder's domestic partner to sign an affidavit attesting that the certificate holder and the certificate 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§34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certificate holder upon notification by the certificate 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§35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§3 (NEW). PL 2001, c. 347, §5 (AFF). PL 2021, c. 567, §§33-35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§2832-A. Mandated offer of domestic partner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§2832-A. Mandated offer of domestic partner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§2832-A. MANDATED OFFER OF DOMESTIC PARTNER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