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2847-P</w:t>
        <w:t xml:space="preserve">.  </w:t>
      </w:r>
      <w:r>
        <w:rPr>
          <w:b/>
        </w:rPr>
        <w:t xml:space="preserve">Coverage for medically necessary infant formula</w:t>
      </w:r>
    </w:p>
    <w:p>
      <w:pPr>
        <w:jc w:val="both"/>
        <w:spacing w:before="100" w:after="100"/>
        <w:ind w:start="360"/>
      </w:pPr>
      <w:r>
        <w:rPr>
          <w:b/>
        </w:rPr>
        <w:t>(REALLOCATED FROM TITLE 24-A, SECTION 2847-N)</w:t>
      </w:r>
    </w:p>
    <w:p>
      <w:pPr>
        <w:jc w:val="both"/>
        <w:spacing w:before="100" w:after="100"/>
        <w:ind w:start="360"/>
        <w:ind w:firstLine="360"/>
      </w:pPr>
      <w:r>
        <w:rPr/>
      </w:r>
      <w:r>
        <w:rPr/>
      </w:r>
      <w:r>
        <w:t xml:space="preserve">All group health insurance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§2847-P. Coverage for medically necessary infant formula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§2847-P. Coverage for medically necessary infant formula</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§2847-P. COVERAGE FOR MEDICALLY NECESSARY INFANT FORMULA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