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§2885. FILING OF GROUP MANUAL RATES FOR INFORMATIONAL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