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 order of notice to parties interested, and proceedings</w:t>
      </w:r>
    </w:p>
    <w:p>
      <w:pPr>
        <w:jc w:val="both"/>
        <w:spacing w:before="100" w:after="100"/>
        <w:ind w:start="360"/>
        <w:ind w:firstLine="360"/>
      </w:pPr>
      <w:r>
        <w:rPr/>
      </w:r>
      <w:r>
        <w:rPr/>
      </w:r>
      <w:r>
        <w:t xml:space="preserve">The court before which the complaint described in </w:t>
      </w:r>
      <w:r>
        <w:t>section 3617</w:t>
      </w:r>
      <w:r>
        <w:t xml:space="preserve"> is filed shall order notice to all parties interested, by publication or otherwise. Upon the return thereof, the court shall proceed to examine the assessment or call, the necessity therefor and all matters connected therewith. Any parties interested may appear and be heard thereon, and all questions that may arise shall be heard and determined as in other civil actions in which equitable relief is sought. The court may refer the apportionment or calculation to any competent person, and upon the examination may ratify, amend or annul the assessment or call, or order one to be made. In case the assessment or call is altered or amended, or one is ordered, the directors shall forthwith proceed to vote the same in legal form and the record of such vote shall be set forth in a supplemental answer.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§3618. -- order of notice to parties interested,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 order of notice to parties interested,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§3618. -- ORDER OF NOTICE TO PARTIES INTERESTED,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