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Agents; liability</w:t>
      </w:r>
    </w:p>
    <w:p>
      <w:pPr>
        <w:jc w:val="both"/>
        <w:spacing w:before="100" w:after="100"/>
        <w:ind w:start="360"/>
        <w:ind w:firstLine="360"/>
      </w:pPr>
      <w:r>
        <w:rPr/>
      </w:r>
      <w:r>
        <w:rPr/>
      </w:r>
      <w:r>
        <w:t xml:space="preserve">Any person who solicits insurance on behalf of any insurer or transmits for a person other than the person soliciting the insurance an application for, or a policy of, insurance to or from such insurer, or in any manner acts in the negotiation of such insurance, or in the inspection or valuation of the property insured must be deemed the agent of the insurer, and except as otherwise provided, is liable to all the duties, requirements, liabilities and penalties to which an agent of any insurer is subject.</w:t>
      </w:r>
      <w:r>
        <w:t xml:space="preserve">  </w:t>
      </w:r>
      <w:r xmlns:wp="http://schemas.openxmlformats.org/drawingml/2010/wordprocessingDrawing" xmlns:w15="http://schemas.microsoft.com/office/word/2012/wordml">
        <w:rPr>
          <w:rFonts w:ascii="Arial" w:hAnsi="Arial" w:cs="Arial"/>
          <w:sz w:val="22"/>
          <w:szCs w:val="22"/>
        </w:rPr>
        <w:t xml:space="preserve">[RR 2021, c. 1, Pt. B, §311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