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4402</w:t>
        <w:t xml:space="preserve">.  </w:t>
      </w:r>
      <w:r>
        <w:rPr>
          <w:b/>
        </w:rPr>
        <w:t xml:space="preserve">-- appeal from superintendent's order</w:t>
      </w:r>
    </w:p>
    <w:p>
      <w:pPr>
        <w:jc w:val="both"/>
        <w:spacing w:before="100" w:after="100"/>
        <w:ind w:start="360"/>
        <w:ind w:firstLine="360"/>
      </w:pPr>
      <w:r>
        <w:rPr/>
      </w:r>
      <w:r>
        <w:rPr/>
      </w:r>
      <w:r>
        <w:t xml:space="preserve">If the superintendent has issued a summary order before hearing as provided in </w:t>
      </w:r>
      <w:r>
        <w:t>section 4401, subsection 2</w:t>
      </w:r>
      <w:r>
        <w:t xml:space="preserve">, any person upon whom such order is served may waive the superintendent hearing and apply for any immediate judicial relief available under law and without first exhausting administrative remedies. </w:t>
      </w:r>
      <w:r>
        <w:t>Section 236</w:t>
      </w:r>
      <w:r>
        <w:t xml:space="preserve"> (appeal from superintendent) shall apply as to appeals from the superintendent's order made after hearing.</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§4402. -- appeal from superintendent's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§4402. -- appeal from superintendent's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§4402. -- APPEAL FROM SUPERINTENDENT'S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