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4434</w:t>
        <w:t xml:space="preserve">.  </w:t>
      </w:r>
      <w:r>
        <w:rPr>
          <w:b/>
        </w:rPr>
        <w:t xml:space="preserve">Construction</w:t>
      </w:r>
    </w:p>
    <w:p>
      <w:pPr>
        <w:jc w:val="both"/>
        <w:spacing w:before="100" w:after="100"/>
        <w:ind w:start="360"/>
        <w:ind w:firstLine="360"/>
      </w:pPr>
      <w:r>
        <w:rPr/>
      </w:r>
      <w:r>
        <w:rPr/>
      </w:r>
      <w:r>
        <w:t xml:space="preserve">This subchapter shall be liberally construed to effect the purpose stated under </w:t>
      </w:r>
      <w:r>
        <w:t>section 4432</w:t>
      </w:r>
      <w:r>
        <w:t xml:space="preserve">, which shall constitute an aid and guide to interpretation.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§4434.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§4434.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