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4448</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arises against any member insurer, the association or its agents or employees, the board of directors, or the superintendent or the superintendent's representatives for any action taken by them in the performance of their powers and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§390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