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6302</w:t>
        <w:t xml:space="preserve">.  </w:t>
      </w:r>
      <w:r>
        <w:rPr>
          <w:b/>
        </w:rPr>
        <w:t xml:space="preserve">Purpose</w:t>
      </w:r>
    </w:p>
    <w:p>
      <w:pPr>
        <w:jc w:val="both"/>
        <w:spacing w:before="100" w:after="100"/>
        <w:ind w:start="360"/>
        <w:ind w:firstLine="360"/>
      </w:pPr>
      <w:r>
        <w:rPr/>
      </w:r>
      <w:r>
        <w:rPr/>
      </w:r>
      <w:r>
        <w:t xml:space="preserve">The purpose of this chapter is to promote perinatal services in underserved areas of the State.</w:t>
      </w:r>
      <w:r>
        <w:t xml:space="preserve">  </w:t>
      </w:r>
      <w:r xmlns:wp="http://schemas.openxmlformats.org/drawingml/2010/wordprocessingDrawing" xmlns:w15="http://schemas.microsoft.com/office/word/2012/wordml">
        <w:rPr>
          <w:rFonts w:ascii="Arial" w:hAnsi="Arial" w:cs="Arial"/>
          <w:sz w:val="22"/>
          <w:szCs w:val="22"/>
        </w:rPr>
        <w:t xml:space="preserve">[PL 1991, c. 734,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§5 (NEW). PL 1991, c. 734,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§6302.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§6302.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