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6803-A</w:t>
        <w:t xml:space="preserve">.  </w:t>
      </w:r>
      <w:r>
        <w:rPr>
          <w:b/>
        </w:rPr>
        <w:t xml:space="preserve">Fiduciary obligation of settlement producer</w:t>
      </w:r>
    </w:p>
    <w:p>
      <w:pPr>
        <w:jc w:val="both"/>
        <w:spacing w:before="100" w:after="100"/>
        <w:ind w:start="360"/>
        <w:ind w:firstLine="360"/>
      </w:pPr>
      <w:r>
        <w:rPr/>
      </w:r>
      <w:r>
        <w:rPr/>
      </w:r>
      <w:r>
        <w:t xml:space="preserve">Irrespective of the manner in which the settlement producer is compensated, a settlement producer may represent only the interests of the viator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§6803-A. Fiduciary obligation of settlement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§6803-A. Fiduciary obligation of settlement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§6803-A. FIDUCIARY OBLIGATION OF SETTLEMENT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