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7112</w:t>
        <w:t xml:space="preserve">.  </w:t>
      </w:r>
      <w:r>
        <w:rPr>
          <w:b/>
        </w:rPr>
        <w:t xml:space="preserve">Transition</w:t>
      </w:r>
    </w:p>
    <w:p>
      <w:pPr>
        <w:jc w:val="both"/>
        <w:spacing w:before="100" w:after="100"/>
        <w:ind w:start="360"/>
        <w:ind w:firstLine="360"/>
      </w:pPr>
      <w:r>
        <w:rPr/>
      </w:r>
      <w:r>
        <w:rPr/>
      </w:r>
      <w:r>
        <w:t xml:space="preserve">The exemptions in </w:t>
      </w:r>
      <w:r>
        <w:t>section 7101, subsection 3</w:t>
      </w:r>
      <w:r>
        <w:t xml:space="preserve"> are effective immediately upon the effective date of this chapter and extend to contracts that are already in force. All other service contracts entered into, renewed or offered for sale in this State on or after January 1, 2012 must comply with this chapter.  The exemptions in </w:t>
      </w:r>
      <w:r>
        <w:t>section 7101, subsection 4</w:t>
      </w:r>
      <w:r>
        <w:t xml:space="preserve"> apply to all service contracts entered into, renewed or offered for sale on or after the provider's registration date.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§7112. Transition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§7112. Transition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§7112. TRANSITION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