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an insurer authorized in this State that either assumes or transfers the obligations or risks on contracts of insurance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reinsurance agreement or transaction in which the ceding insurer continues to remain directly liable for its insurance obligations or risks under the contracts of insurance subject to the reinsurance agreement;</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The substitution of one insurer for another upon the expiration of insurance coverage pursuant to statutory or contractual requirements and the issuance of a new contract of insurance by another insurer;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The transfer of contracts of insurance pursuant to mergers or consolidations of 2 or more insurers to the extent that those transactions are regulated by law;</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An insurer subject to a judicial order of liquidation or rehabilitation;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E</w:t>
        <w:t xml:space="preserve">.  </w:t>
      </w:r>
      <w:r>
        <w:rPr/>
      </w:r>
      <w:r>
        <w:t xml:space="preserve">A reinsurance agreement or transaction to which a state insurance guaranty association is a party, except that policyholders do not lose any rights or claims afforded under their original policies pursuant to </w:t>
      </w:r>
      <w:r>
        <w:t>chapter 57, subchapter III</w:t>
      </w:r>
      <w:r>
        <w:t xml:space="preserve"> and </w:t>
      </w:r>
      <w:r>
        <w:t>chapter 62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F</w:t>
        <w:t xml:space="preserve">.  </w:t>
      </w:r>
      <w:r>
        <w:rPr/>
      </w:r>
      <w:r>
        <w:t xml:space="preserve">The transfer of liabilities from one insurer to another under a single group policy upon the request of the group policyholder, unless the certificateholder pays all or substantially all of the premium.</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