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2320-B</w:t>
        <w:t xml:space="preserve">.  </w:t>
      </w:r>
      <w:r>
        <w:rPr>
          <w:b/>
        </w:rPr>
        <w:t xml:space="preserve">Acupuncture services</w:t>
      </w:r>
    </w:p>
    <w:p>
      <w:pPr>
        <w:jc w:val="both"/>
        <w:spacing w:before="100" w:after="100"/>
        <w:ind w:start="360"/>
        <w:ind w:firstLine="360"/>
      </w:pPr>
      <w:r>
        <w:rPr/>
      </w:r>
      <w:r>
        <w:rPr/>
      </w:r>
      <w:r>
        <w:t xml:space="preserve">All individual and group nonprofit medical services plan contracts and certificates and all nonprofit health care plan contracts and certificates providing coverage for acupuncture must provide coverage for those services when performed by an acupuncturist licensed pursuant to </w:t>
      </w:r>
      <w:r>
        <w:t>Title 32, chapter 113‑B, subchapter 2</w:t>
      </w:r>
      <w:r>
        <w:t xml:space="preserve">, under the same conditions that apply to the services of a licensed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647, §1 (NEW). PL 1995, c. 671, §8 (AMD). PL 2003, c. 517, §B4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§2320-B. Acupuncture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§2320-B. Acupuncture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§2320-B. ACUPUNCTURE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