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nongroup nonprofit hospital, medical service or health care subscriber contracts relating to coordination of benefits payable under the contract and under other plans of insurance or of health care coverage under which the subscriber or the subscriber's dependents may be covered must conform to rules adopted by the superintendent. The rules may establish uniformity in the permissive use of coordination of benefits provisions to ensure that the subscriber receives full benefits for covered medical services, to enhance cost containment through avoidance of windfall payments and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§1 (NEW).]</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contract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contract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Title 24‑A, 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§1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§1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Nonprofit service organizations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subscribers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covered subscriber or family member to payment by the nonprofit service organization for those health care items or services.  Upon presentation of proof that the Medicaid program or the Children's Health Insurance Program has paid for covered items or services, the nonprofit service organization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w:pPr>
        <w:jc w:val="both"/>
        <w:spacing w:before="100" w:after="0"/>
        <w:ind w:start="720"/>
      </w:pPr>
      <w:r>
        <w:rPr/>
        <w:t>B</w:t>
        <w:t xml:space="preserve">.  </w:t>
      </w:r>
      <w:r>
        <w:rPr/>
      </w:r>
      <w:r>
        <w:t xml:space="preserve">A nonprofit service organization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§16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§A149 (NEW). PL 1991, c. 200, §B2 (AMD). PL 1993, c. 666, §B1 (RPR). PL 1997, c. 604, §G1 (AMD). PL 1997, c. 777, §B1 (AMD). PL 2005, c. 121, §D1 (AMD). PL 2005, c. 683, §A38 (AMD). PL 2023, c. 104, §1 (AMD). PL 2023, c. 597,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§2332-A.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§2332-A.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§2332-A.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