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or </w:t>
      </w:r>
      <w:r>
        <w:t>Title 32, section 18325, subsection 3</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§1 (AMD).]</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PL 2023, c. 515,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