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252-A</w:t>
      </w:r>
    </w:p>
    <w:p>
      <w:pPr>
        <w:jc w:val="center"/>
        <w:ind w:start="360"/>
        <w:spacing w:before="300" w:after="300"/>
      </w:pPr>
      <w:r>
        <w:rPr>
          <w:b/>
        </w:rPr>
        <w:t xml:space="preserve">FIREARMS REGULATION</w:t>
      </w:r>
    </w:p>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jc w:val="both"/>
        <w:spacing w:before="100" w:after="100"/>
        <w:ind w:start="1080" w:hanging="720"/>
      </w:pPr>
      <w:r>
        <w:rPr>
          <w:b/>
        </w:rPr>
        <w:t>§</w:t>
        <w:t>2015</w:t>
        <w:t xml:space="preserve">.  </w:t>
      </w:r>
      <w:r>
        <w:rPr>
          <w:b/>
        </w:rPr>
        <w:t xml:space="preserve">Gun shop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or deadly weapon" has the same meaning as "dangerous weapon"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D</w:t>
        <w:t xml:space="preserve">.  </w:t>
      </w:r>
      <w:r>
        <w:rPr/>
      </w:r>
      <w:r>
        <w:t xml:space="preserve">"Gun shop" means a business located in the State that sells firearms, dangerous or deadly weapons or related components such as ammunition.</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E</w:t>
        <w:t xml:space="preserve">.  </w:t>
      </w:r>
      <w:r>
        <w:rPr/>
      </w:r>
      <w:r>
        <w:t xml:space="preserve">"Gun shop project" means a project to develop, create and distribute suicide prevention educational materials.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2</w:t>
        <w:t xml:space="preserve">.  </w:t>
      </w:r>
      <w:r>
        <w:rPr>
          <w:b/>
        </w:rPr>
        <w:t xml:space="preserve">Administration of gun shop project.</w:t>
        <w:t xml:space="preserve"> </w:t>
      </w:r>
      <w:r>
        <w:t xml:space="preserve"> </w:t>
      </w:r>
      <w:r>
        <w:t xml:space="preserve">The department shall administer a gun shop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ind w:firstLine="360"/>
      </w:pPr>
      <w:r>
        <w:rPr>
          <w:b/>
        </w:rPr>
        <w:t>3</w:t>
        <w:t xml:space="preserve">.  </w:t>
      </w:r>
      <w:r>
        <w:rPr>
          <w:b/>
        </w:rPr>
        <w:t xml:space="preserve">Development and creation of educational materials; online training.</w:t>
        <w:t xml:space="preserve"> </w:t>
      </w:r>
      <w:r>
        <w:t xml:space="preserve"> </w:t>
      </w:r>
      <w:r>
        <w:t xml:space="preserve">In administering a gun shop project under this section, the department shall contract with a statewide organization with expertise in mental health for the development and creation of suicide prevention educational materials, including an online training course.</w:t>
      </w:r>
    </w:p>
    <w:p>
      <w:pPr>
        <w:jc w:val="both"/>
        <w:spacing w:before="100" w:after="0"/>
        <w:ind w:start="720"/>
      </w:pPr>
      <w:r>
        <w:rPr/>
        <w:t>A</w:t>
        <w:t xml:space="preserve">.  </w:t>
      </w:r>
      <w:r>
        <w:rPr/>
      </w:r>
      <w:r>
        <w:t xml:space="preserve">Educational materials under this subsection must include but are not limited to information on:</w:t>
      </w:r>
    </w:p>
    <w:p>
      <w:pPr>
        <w:jc w:val="both"/>
        <w:spacing w:before="100" w:after="0"/>
        <w:ind w:start="1080"/>
      </w:pPr>
      <w:r>
        <w:rPr/>
        <w:t>(</w:t>
        <w:t>1</w:t>
        <w:t xml:space="preserve">)  </w:t>
      </w:r>
      <w:r>
        <w:rPr/>
      </w:r>
      <w:r>
        <w:t xml:space="preserve">Understanding and recognizing the various clinical signs, symptoms and indicators of suicide risk; and</w:t>
      </w:r>
    </w:p>
    <w:p>
      <w:pPr>
        <w:jc w:val="both"/>
        <w:spacing w:before="100" w:after="0"/>
        <w:ind w:start="1080"/>
      </w:pPr>
      <w:r>
        <w:rPr/>
        <w:t>(</w:t>
        <w:t>2</w:t>
        <w:t xml:space="preserve">)  </w:t>
      </w:r>
      <w:r>
        <w:rPr/>
      </w:r>
      <w:r>
        <w:t xml:space="preserve">Available suicide prevention resources.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In developing and creating educational materials under this subsection, the contracted statewide organization must refer to the following:</w:t>
      </w:r>
    </w:p>
    <w:p>
      <w:pPr>
        <w:jc w:val="both"/>
        <w:spacing w:before="100" w:after="0"/>
        <w:ind w:start="1080"/>
      </w:pPr>
      <w:r>
        <w:rPr/>
        <w:t>(</w:t>
        <w:t>1</w:t>
        <w:t xml:space="preserve">)  </w:t>
      </w:r>
      <w:r>
        <w:rPr/>
      </w:r>
      <w:r>
        <w:t xml:space="preserve">Gun shop projects in other states;</w:t>
      </w:r>
    </w:p>
    <w:p>
      <w:pPr>
        <w:jc w:val="both"/>
        <w:spacing w:before="100" w:after="0"/>
        <w:ind w:start="1080"/>
      </w:pPr>
      <w:r>
        <w:rPr/>
        <w:t>(</w:t>
        <w:t>2</w:t>
        <w:t xml:space="preserve">)  </w:t>
      </w:r>
      <w:r>
        <w:rPr/>
      </w:r>
      <w:r>
        <w:t xml:space="preserve">Programs created or offered by organizations in the dangerous or deadly weapon industry; and</w:t>
      </w:r>
    </w:p>
    <w:p>
      <w:pPr>
        <w:jc w:val="both"/>
        <w:spacing w:before="100" w:after="0"/>
        <w:ind w:start="1080"/>
      </w:pPr>
      <w:r>
        <w:rPr/>
        <w:t>(</w:t>
        <w:t>3</w:t>
        <w:t xml:space="preserve">)  </w:t>
      </w:r>
      <w:r>
        <w:rPr/>
      </w:r>
      <w:r>
        <w:t xml:space="preserve">Other projects or organizations that the department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Educational materials under this subsection must be created as written materials, such as pamphlets, signs, posters, tip sheets or other media, and as an online training course for firearm dealers licensed as dealers under 18 United States Code, Section 923(a)(3) and gun shop customers.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4</w:t>
        <w:t xml:space="preserve">.  </w:t>
      </w:r>
      <w:r>
        <w:rPr>
          <w:b/>
        </w:rPr>
        <w:t xml:space="preserve">Distribution of gun shop project educational materials.</w:t>
        <w:t xml:space="preserve"> </w:t>
      </w:r>
      <w:r>
        <w:t xml:space="preserve"> </w:t>
      </w:r>
      <w:r>
        <w:t xml:space="preserve">The department shall ensure that the written educational materials and online training course created under </w:t>
      </w:r>
      <w:r>
        <w:t>subsection 3</w:t>
      </w:r>
      <w:r>
        <w:t xml:space="preserve"> are available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pPr>
      <w:r>
        <w:rPr>
          <w:b w:val="true"/>
          <w:i/>
          <w:caps w:val="true"/>
        </w:rPr>
        <w:t xml:space="preserve">Revisor's Note: </w:t>
      </w:r>
      <w:r>
        <w:t>§2015. Waiting period after sale of firearm (As enacted by PL 2023, c. 678, §1 is REALLOCATED TO TITLE 25, SECTION 2016)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 </w:t>
      </w:r>
    </w:p>
    <w:p>
      <w:pPr>
        <w:jc w:val="both"/>
        <w:spacing w:before="100" w:after="100"/>
        <w:ind w:start="1080" w:hanging="720"/>
      </w:pPr>
      <w:r>
        <w:rPr>
          <w:b/>
        </w:rPr>
        <w:t>§</w:t>
        <w:t>2016</w:t>
        <w:t xml:space="preserve">.  </w:t>
      </w:r>
      <w:r>
        <w:rPr>
          <w:b/>
        </w:rPr>
        <w:t xml:space="preserve">Waiting period after sale of firearm</w:t>
      </w:r>
    </w:p>
    <w:p>
      <w:pPr>
        <w:jc w:val="both"/>
        <w:spacing w:before="100" w:after="100"/>
        <w:ind w:start="360"/>
      </w:pPr>
      <w:r>
        <w:rPr>
          <w:b/>
        </w:rPr>
        <w:t>(REALLOCATED FROM TITLE 25, SECTION 2015)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an agreement reached between a buyer and a seller for the purchase and the sale of a firearm.</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"Buyer" means a person, not including a firearm dealer, who receives possession or ownership of a firearm through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"Firearm" has the same meaning as in Title 17‑A, section 2, subsection 12‑A.</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D</w:t>
        <w:t xml:space="preserve">.  </w:t>
      </w:r>
      <w:r>
        <w:rPr/>
      </w:r>
      <w:r>
        <w:t xml:space="preserve">"Firearm dealer" means a person that is licensed as a dealer under 18 United States Code, Section 923(a)(3) or that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E</w:t>
        <w:t xml:space="preserve">.  </w:t>
      </w:r>
      <w:r>
        <w:rPr/>
      </w:r>
      <w:r>
        <w:t xml:space="preserve">"Seller" means a person or firearm dealer that owns a firearm and that is transferring ownership of the firearm to a buyer pursuant to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0"/>
        <w:ind w:start="360"/>
        <w:ind w:firstLine="360"/>
      </w:pPr>
      <w:r>
        <w:rPr>
          <w:b/>
        </w:rPr>
        <w:t>2</w:t>
        <w:t xml:space="preserve">.  </w:t>
      </w:r>
      <w:r>
        <w:rPr>
          <w:b/>
        </w:rPr>
        <w:t xml:space="preserve">Waiting period.</w:t>
        <w:t xml:space="preserve"> </w:t>
      </w:r>
      <w:r>
        <w:t xml:space="preserve"> </w:t>
      </w:r>
      <w:r>
        <w:t xml:space="preserve">A seller may not knowingly deliver a firearm to a buyer pursuant to an agreement sooner than 72 hours after the agreement.  The 72-hour waiting period must be concurrent with any waiting period imposed by any background check process required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3</w:t>
        <w:t xml:space="preserve">.  </w:t>
      </w:r>
      <w:r>
        <w:rPr>
          <w:b/>
        </w:rPr>
        <w:t xml:space="preserve">Penalty.</w:t>
        <w:t xml:space="preserve"> </w:t>
      </w:r>
      <w:r>
        <w:t xml:space="preserve"> </w:t>
      </w:r>
      <w:r>
        <w:t xml:space="preserve">This subsection applies to violations of subsection 2.</w:t>
      </w:r>
    </w:p>
    <w:p>
      <w:pPr>
        <w:jc w:val="both"/>
        <w:spacing w:before="100" w:after="0"/>
        <w:ind w:start="720"/>
      </w:pPr>
      <w:r>
        <w:rPr/>
        <w:t>A</w:t>
        <w:t xml:space="preserve">.  </w:t>
      </w:r>
      <w:r>
        <w:rPr/>
      </w:r>
      <w:r>
        <w:t xml:space="preserve">A seller who violates subsection 2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A seller who violates subsection 2 after having previously been adjudicated as violating subsection 2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sale of a firearm if the seller knows that the person to whom the seller is selling the firearm is:</w:t>
      </w:r>
    </w:p>
    <w:p>
      <w:pPr>
        <w:jc w:val="both"/>
        <w:spacing w:before="100" w:after="0"/>
        <w:ind w:start="1080"/>
      </w:pPr>
      <w:r>
        <w:rPr/>
        <w:t>(</w:t>
        <w:t>1</w:t>
        <w:t xml:space="preserve">)  </w:t>
      </w:r>
      <w:r>
        <w:rPr/>
      </w:r>
      <w:r>
        <w:t xml:space="preserve">A law enforcement officer as defined by Title 17‑A, section 2, subsection 17;</w:t>
      </w:r>
    </w:p>
    <w:p>
      <w:pPr>
        <w:jc w:val="both"/>
        <w:spacing w:before="100" w:after="0"/>
        <w:ind w:start="1080"/>
      </w:pPr>
      <w:r>
        <w:rPr/>
        <w:t>(</w:t>
        <w:t>2</w:t>
        <w:t xml:space="preserve">)  </w:t>
      </w:r>
      <w:r>
        <w:rPr/>
      </w:r>
      <w:r>
        <w:t xml:space="preserve">A corrections officer as defined by section 2801‑A, subsection 2; or</w:t>
      </w:r>
    </w:p>
    <w:p>
      <w:pPr>
        <w:jc w:val="both"/>
        <w:spacing w:before="100" w:after="0"/>
        <w:ind w:start="1080"/>
      </w:pPr>
      <w:r>
        <w:rPr/>
        <w:t>(</w:t>
        <w:t>3</w:t>
        <w:t xml:space="preserve">)  </w:t>
      </w:r>
      <w:r>
        <w:rPr/>
      </w:r>
      <w:r>
        <w:t xml:space="preserve">A person who is employed by a contract security company or proprietary security organization as defined by Title 32, section 9403 or a person who is licensed as a private security guard under Title 32, chapter 93;</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The sale of a firearm to a firearm dealer; or</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The sale of a firearm if:</w:t>
      </w:r>
    </w:p>
    <w:p>
      <w:pPr>
        <w:jc w:val="both"/>
        <w:spacing w:before="100" w:after="0"/>
        <w:ind w:start="1080"/>
      </w:pPr>
      <w:r>
        <w:rPr/>
        <w:t>(</w:t>
        <w:t>1</w:t>
        <w:t xml:space="preserve">)  </w:t>
      </w:r>
      <w:r>
        <w:rPr/>
      </w:r>
      <w:r>
        <w:t xml:space="preserve">The buyer and seller are family members.  For purposes of this subparagraph, "family member" means a spouse, domestic partner, parent, stepparent, foster parent, child, stepchild, foster child or person related by consanguinity within the 2nd degree;</w:t>
      </w:r>
    </w:p>
    <w:p>
      <w:pPr>
        <w:jc w:val="both"/>
        <w:spacing w:before="100" w:after="0"/>
        <w:ind w:start="1080"/>
      </w:pPr>
      <w:r>
        <w:rPr/>
        <w:t>(</w:t>
        <w:t>2</w:t>
        <w:t xml:space="preserve">)  </w:t>
      </w:r>
      <w:r>
        <w:rPr/>
      </w:r>
      <w:r>
        <w:t xml:space="preserve">The transaction is for a firearm that is:</w:t>
      </w:r>
    </w:p>
    <w:p>
      <w:pPr>
        <w:jc w:val="both"/>
        <w:spacing w:before="100" w:after="0"/>
        <w:ind w:start="1440"/>
      </w:pPr>
      <w:r>
        <w:rPr/>
        <w:t>(</w:t>
        <w:t>a</w:t>
        <w:t xml:space="preserve">)  </w:t>
      </w:r>
      <w:r>
        <w:rPr/>
      </w:r>
      <w:r>
        <w:t xml:space="preserve">A curio or relic, as defined in 27 Code of Federal Regulations, Section 478.11, and the sale, transfer or exchange is between collectors, as defined in 18 United States Code, Section 921(a)(13), who each have in their possession a valid collector of curios and relics license issued by the United States Department of Justice, Bureau of Alcohol, Tobacco, Firearms and Explosives; or</w:t>
      </w:r>
    </w:p>
    <w:p>
      <w:pPr>
        <w:jc w:val="both"/>
        <w:spacing w:before="100" w:after="0"/>
        <w:ind w:start="1440"/>
      </w:pPr>
      <w:r>
        <w:rPr/>
        <w:t>(</w:t>
        <w:t>b</w:t>
        <w:t xml:space="preserve">)  </w:t>
      </w:r>
      <w:r>
        <w:rPr/>
      </w:r>
      <w:r>
        <w:t xml:space="preserve">An antique firearm, as defined in 18 United States Code, Section 921(a)(16); or</w:t>
      </w:r>
    </w:p>
    <w:p>
      <w:pPr>
        <w:jc w:val="both"/>
        <w:spacing w:before="100" w:after="0"/>
        <w:ind w:start="1080"/>
      </w:pPr>
      <w:r>
        <w:rPr/>
        <w:t>(</w:t>
        <w:t>3</w:t>
        <w:t xml:space="preserve">)  </w:t>
      </w:r>
      <w:r>
        <w:rPr/>
      </w:r>
      <w:r>
        <w:t xml:space="preserve">A background check is not required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252-A. FIREARMS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252-A. FIREARMS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252-A. FIREARMS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