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2101</w:t>
        <w:t xml:space="preserve">.  </w:t>
      </w:r>
      <w:r>
        <w:rPr>
          <w:b/>
        </w:rPr>
        <w:t xml:space="preserve">Policy</w:t>
      </w:r>
    </w:p>
    <w:p>
      <w:pPr>
        <w:jc w:val="both"/>
        <w:spacing w:before="100" w:after="100"/>
        <w:ind w:start="360"/>
        <w:ind w:firstLine="360"/>
      </w:pPr>
      <w:r>
        <w:rPr/>
      </w:r>
      <w:r>
        <w:rPr/>
      </w:r>
      <w:r>
        <w:t xml:space="preserve">It is declared to be the policy of the State to protect its citizens adequately against the risks to life and property which are inherent in the transportation of hazardous materials in commerce.</w:t>
      </w:r>
      <w:r>
        <w:t xml:space="preserve">  </w:t>
      </w:r>
      <w:r xmlns:wp="http://schemas.openxmlformats.org/drawingml/2010/wordprocessingDrawing" xmlns:w15="http://schemas.microsoft.com/office/word/2012/wordml">
        <w:rPr>
          <w:rFonts w:ascii="Arial" w:hAnsi="Arial" w:cs="Arial"/>
          <w:sz w:val="22"/>
          <w:szCs w:val="22"/>
        </w:rPr>
        <w:t xml:space="preserve">[PL 1977, c. 622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§2101.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§2101.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§2101.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