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2373</w:t>
        <w:t xml:space="preserve">.  </w:t>
      </w:r>
      <w:r>
        <w:rPr>
          <w:b/>
        </w:rPr>
        <w:t xml:space="preserve">Municipal inspection options</w:t>
      </w:r>
    </w:p>
    <w:p>
      <w:pPr>
        <w:jc w:val="both"/>
        <w:spacing w:before="100" w:after="100"/>
        <w:ind w:start="360"/>
        <w:ind w:firstLine="360"/>
      </w:pPr>
      <w:r>
        <w:rPr/>
      </w:r>
      <w:r>
        <w:rPr/>
      </w:r>
      <w:r>
        <w:t xml:space="preserve">The code must be enforced in a municipality that has more than 4,000 residents.  The code must be enforced through inspections that comply with the code through any of the following means:</w:t>
      </w:r>
      <w:r>
        <w:t xml:space="preserve">  </w:t>
      </w:r>
      <w:r xmlns:wp="http://schemas.openxmlformats.org/drawingml/2010/wordprocessingDrawing" xmlns:w15="http://schemas.microsoft.com/office/word/2012/wordml">
        <w:rPr>
          <w:rFonts w:ascii="Arial" w:hAnsi="Arial" w:cs="Arial"/>
          <w:sz w:val="22"/>
          <w:szCs w:val="22"/>
        </w:rPr>
        <w:t xml:space="preserve">[PL 2019, c. 391, §7 (AMD).]</w:t>
      </w:r>
    </w:p>
    <w:p>
      <w:pPr>
        <w:jc w:val="both"/>
        <w:spacing w:before="100" w:after="0"/>
        <w:ind w:start="360"/>
        <w:ind w:firstLine="360"/>
      </w:pPr>
      <w:r>
        <w:rPr>
          <w:b/>
        </w:rPr>
        <w:t>1</w:t>
        <w:t xml:space="preserve">.  </w:t>
      </w:r>
      <w:r>
        <w:rPr>
          <w:b/>
        </w:rPr>
        <w:t xml:space="preserve">Building officials.</w:t>
        <w:t xml:space="preserve"> </w:t>
      </w:r>
      <w:r>
        <w:t xml:space="preserve"> </w:t>
      </w:r>
      <w:r>
        <w:t xml:space="preserve">Building officials and local code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2</w:t>
        <w:t xml:space="preserve">.  </w:t>
      </w:r>
      <w:r>
        <w:rPr>
          <w:b/>
        </w:rPr>
        <w:t xml:space="preserve">Interlocal agreements.</w:t>
        <w:t xml:space="preserve"> </w:t>
      </w:r>
      <w:r>
        <w:t xml:space="preserve"> </w:t>
      </w:r>
      <w:r>
        <w:t xml:space="preserve">Interlocal agreements with other municipalities that share the use of building officials certified in building standards pursuant to </w:t>
      </w:r>
      <w:r>
        <w:t>Title 10, section 9723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3</w:t>
        <w:t xml:space="preserve">.  </w:t>
      </w:r>
      <w:r>
        <w:rPr>
          <w:b/>
        </w:rPr>
        <w:t xml:space="preserve">Contractual agreements.</w:t>
        <w:t xml:space="preserve"> </w:t>
      </w:r>
      <w:r>
        <w:t xml:space="preserve"> </w:t>
      </w:r>
      <w:r>
        <w:t xml:space="preserve">Contractual agreements with county or regional authorities that share the use of  building officials certified in building standards pursuant to </w:t>
      </w:r>
      <w:r>
        <w:t>Title 10, section 9723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4</w:t>
        <w:t xml:space="preserve">.  </w:t>
      </w:r>
      <w:r>
        <w:rPr>
          <w:b/>
        </w:rPr>
        <w:t xml:space="preserve">Third-party inspectors.</w:t>
        <w:t xml:space="preserve"> </w:t>
      </w:r>
      <w:r>
        <w:t xml:space="preserve"> </w:t>
      </w:r>
      <w:r>
        <w:t xml:space="preserve">Reports from 3rd-party inspectors certified pursuant to </w:t>
      </w:r>
      <w:r>
        <w:t>Title 10, section 9723</w:t>
      </w:r>
      <w:r>
        <w:t xml:space="preserve"> submitted to the building official prior to obtaining a certificate of occupancy in </w:t>
      </w:r>
      <w:r>
        <w:t>section 2357‑A</w:t>
      </w:r>
      <w:r>
        <w:t xml:space="preserve"> that are obtained pursuant to independent contractual arrangements between the building owner and 3rd-party inspector or the municipality and 3rd-party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2009, c. 261, Pt. A, §12 (AMD). PL 2011, c. 408, §6 (AMD). PL 2011, c. 633, §10 (AMD). PL 2019, c. 391,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§2373. Municipal inspection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§2373. Municipal inspection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§2373. MUNICIPAL INSPECTION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