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§2468. Carbon monoxide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§2468. Carbon monoxide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§2468. CARBON MONOXIDE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