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Special security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Special security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§2913. SPECIAL SECURITY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