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3503-A</w:t>
        <w:t xml:space="preserve">.  </w:t>
      </w:r>
      <w:r>
        <w:rPr>
          <w:b/>
        </w:rPr>
        <w:t xml:space="preserve">Disposal of firearms and ammunition</w:t>
      </w:r>
    </w:p>
    <w:p>
      <w:pPr>
        <w:jc w:val="both"/>
        <w:spacing w:before="100" w:after="100"/>
        <w:ind w:start="360"/>
        <w:ind w:firstLine="360"/>
      </w:pPr>
      <w:r>
        <w:rPr/>
      </w:r>
      <w:r>
        <w:rPr/>
      </w:r>
      <w:r>
        <w:t xml:space="preserve">Notwithstanding any other provision of this chapter, a police department or other law enforcement agency retaining firearms and ammunition covered by this chapter, </w:t>
      </w:r>
      <w:r>
        <w:t>Title 15, section 3314</w:t>
      </w:r>
      <w:r>
        <w:t xml:space="preserve"> or </w:t>
      </w:r>
      <w:r>
        <w:t>chapter 517</w:t>
      </w:r>
      <w:r>
        <w:t xml:space="preserve">, or </w:t>
      </w:r>
      <w:r>
        <w:t>Title 17‑A, section 1504</w:t>
      </w:r>
      <w:r>
        <w:t xml:space="preserve"> may auction the firearms to federally licensed firearms dealers or the public, use the firearms and ammunition for training purposes or destroy the firearms and ammunition.</w:t>
      </w:r>
      <w:r>
        <w:t xml:space="preserve">  </w:t>
      </w:r>
      <w:r xmlns:wp="http://schemas.openxmlformats.org/drawingml/2010/wordprocessingDrawing" xmlns:w15="http://schemas.microsoft.com/office/word/2012/wordml">
        <w:rPr>
          <w:rFonts w:ascii="Arial" w:hAnsi="Arial" w:cs="Arial"/>
          <w:sz w:val="22"/>
          <w:szCs w:val="22"/>
        </w:rPr>
        <w:t xml:space="preserve">[PL 2019, c. 113, Pt. C,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254, §2 (NEW). PL 1999, c. 47, §1 (AMD). PL 2003, c. 657, §11 (AMD). PL 2019, c. 113, Pt. C,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§3503-A. Disposal of firearms and ammunition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§3503-A. Disposal of firearms and ammunition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§3503-A. DISPOSAL OF FIREARMS AND AMMUNITION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