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§1112. Reimbursement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Reimbursement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§1112. REIMBURSEMENT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