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section 1225, the commissioner may file in the registry of deeds of any county a certificate under the commissioner's official seal, stating the name of the employer; the employer's address; the amount of the contributions and interest or penalties assessed and in default; and that the time in which an appeal is permitted pursuant to section 1226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taxes, and the priority of the lien is governed by the laws of this State. The liens are subordinate to any real estate mortgage previously recorded as required by law. A lien for contributions or interest is not valid against a person who purchases personal property from the employer in the usual course of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that may have become due or may have accrued under this chapter and costs of court, if any.</w:t>
      </w:r>
    </w:p>
    <w:p>
      <w:pPr>
        <w:jc w:val="both"/>
        <w:spacing w:before="100" w:after="0"/>
        <w:ind w:start="360"/>
      </w:pPr>
      <w:r>
        <w:rPr/>
      </w:r>
      <w:r>
        <w:rPr/>
      </w:r>
      <w:r>
        <w:t xml:space="preserve">The foregoing remedies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§116 (COR).]</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RR 2023, c. 2, Pt. E,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§1227.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