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ind w:firstLine="360"/>
      </w:pPr>
      <w:r>
        <w:rPr/>
      </w:r>
      <w:r>
        <w:rPr/>
      </w:r>
      <w:r>
        <w:t xml:space="preserve">A Comprehensive Career, Occupational and Economic Data-based System is established to provide comprehensive career and occupational information required for the coordination and efficient delivery of all employment and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w:pPr>
        <w:jc w:val="both"/>
        <w:spacing w:before="100" w:after="100"/>
        <w:ind w:start="360"/>
        <w:ind w:firstLine="360"/>
      </w:pPr>
      <w:r>
        <w:rPr/>
      </w:r>
      <w:r>
        <w:rPr/>
      </w:r>
      <w:r>
        <w:t xml:space="preserve">The Comprehensive Career, Occupational and Economic Data-based System shall consist of 2 components: A planning component for employment and training program planners and administrators; and a career information delivery system component for persons involved in the career decision-making process.</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1987, c. 534, §§B15,B23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