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Confidentiality of records</w:t>
      </w:r>
    </w:p>
    <w:p>
      <w:pPr>
        <w:jc w:val="both"/>
        <w:spacing w:before="100" w:after="0"/>
        <w:ind w:start="360"/>
        <w:ind w:firstLine="360"/>
      </w:pPr>
      <w:r>
        <w:rPr>
          <w:b/>
        </w:rPr>
        <w:t>1</w:t>
        <w:t xml:space="preserve">.  </w:t>
      </w:r>
      <w:r>
        <w:rPr>
          <w:b/>
        </w:rPr>
        <w:t xml:space="preserve">Confidential records.</w:t>
        <w:t xml:space="preserve"> </w:t>
      </w:r>
      <w:r>
        <w:t xml:space="preserve"> </w:t>
      </w:r>
      <w:r>
        <w:t xml:space="preserve">Except as provided in </w:t>
      </w:r>
      <w:r>
        <w:t>subsections 2</w:t>
      </w:r>
      <w:r>
        <w:t xml:space="preserve"> and </w:t>
      </w:r>
      <w:r>
        <w:t>3</w:t>
      </w:r>
      <w:r>
        <w:t xml:space="preserve">, all information and reports received by the director or the director's authorized agents under this Title are confidential for the purposes of </w:t>
      </w:r>
      <w:r>
        <w:t>Title 1, section 402,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§2 (NEW).]</w:t>
      </w:r>
    </w:p>
    <w:p>
      <w:pPr>
        <w:jc w:val="both"/>
        <w:spacing w:before="100" w:after="0"/>
        <w:ind w:start="360"/>
        <w:ind w:firstLine="360"/>
      </w:pPr>
      <w:r>
        <w:rPr>
          <w:b/>
        </w:rPr>
        <w:t>2</w:t>
        <w:t xml:space="preserve">.  </w:t>
      </w:r>
      <w:r>
        <w:rPr>
          <w:b/>
        </w:rPr>
        <w:t xml:space="preserve">Exceptions.</w:t>
        <w:t xml:space="preserve"> </w:t>
      </w:r>
      <w:r>
        <w:t xml:space="preserve"> </w:t>
      </w:r>
      <w:r>
        <w:t xml:space="preserve">Reports of final bureau action taken under the authority of this Title are public records for the purposes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§2 (NEW).]</w:t>
      </w:r>
    </w:p>
    <w:p>
      <w:pPr>
        <w:jc w:val="both"/>
        <w:spacing w:before="100" w:after="100"/>
        <w:ind w:start="360"/>
        <w:ind w:firstLine="360"/>
      </w:pPr>
      <w:r>
        <w:rPr>
          <w:b/>
        </w:rPr>
        <w:t>3</w:t>
        <w:t xml:space="preserve">.  </w:t>
      </w:r>
      <w:r>
        <w:rPr>
          <w:b/>
        </w:rPr>
        <w:t xml:space="preserve">Authorized disclosure.</w:t>
        <w:t xml:space="preserve"> </w:t>
      </w:r>
      <w:r>
        <w:t xml:space="preserve"> </w:t>
      </w:r>
      <w:r>
        <w:t xml:space="preserve">The director shall make or authorize any disclosure of information of the following types or under the following circumstances with the understanding that the confidentiality of the information will be maintained:</w:t>
      </w:r>
    </w:p>
    <w:p>
      <w:pPr>
        <w:jc w:val="both"/>
        <w:spacing w:before="100" w:after="0"/>
        <w:ind w:start="720"/>
      </w:pPr>
      <w:r>
        <w:rPr/>
        <w:t>A</w:t>
        <w:t xml:space="preserve">.  </w:t>
      </w:r>
      <w:r>
        <w:rPr/>
      </w:r>
      <w:r>
        <w:t xml:space="preserve">Information and reports to other government agencies if the director believes that the information will serve to further the protection of the public or assist in the enforcement of local, state and federal laws; and</w:t>
      </w:r>
      <w:r>
        <w:t xml:space="preserve">  </w:t>
      </w:r>
      <w:r xmlns:wp="http://schemas.openxmlformats.org/drawingml/2010/wordprocessingDrawing" xmlns:w15="http://schemas.microsoft.com/office/word/2012/wordml">
        <w:rPr>
          <w:rFonts w:ascii="Arial" w:hAnsi="Arial" w:cs="Arial"/>
          <w:sz w:val="22"/>
          <w:szCs w:val="22"/>
        </w:rPr>
        <w:t xml:space="preserve">[PL 2015, c. 250, Pt. C, §2 (NEW).]</w:t>
      </w:r>
    </w:p>
    <w:p>
      <w:pPr>
        <w:jc w:val="both"/>
        <w:spacing w:before="100" w:after="0"/>
        <w:ind w:start="720"/>
      </w:pPr>
      <w:r>
        <w:rPr/>
        <w:t>B</w:t>
        <w:t xml:space="preserve">.  </w:t>
      </w:r>
      <w:r>
        <w:rPr/>
      </w:r>
      <w:r>
        <w:t xml:space="preserve">Information and records pertaining to the workforce, employment patterns, wage rates, poverty and low-income patterns, economically distressed communities and regions and other similar information and data to the Department of Administrative and Financial Services and the Department of Economic and Community Development for the purposes of analysis and evaluation, measuring and monitoring poverty and economic and social conditions throughout the State, and promoting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2021, c. 293, Pt. A, §43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1987, c. 534, §§B14,B23 (AMD). PL 1997, c. 132, §1 (AMD). PL 2011, c. 655, Pt. DD, §10 (AMD). PL 2011, c. 655, Pt. DD, §24 (AFF). PL 2015, c. 250, Pt. C, §2 (RPR). PL 2019, c. 343, Pt. D, §13 (AMD). PL 2019, c. 343, Pt. IIII, §7 (AMD). PL 2021, c. 293, Pt. A,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 Confidentiality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Confidentiality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 CONFIDENTIALITY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