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3212</w:t>
        <w:t xml:space="preserve">.  </w:t>
      </w:r>
      <w:r>
        <w:rPr>
          <w:b/>
        </w:rPr>
        <w:t xml:space="preserve">Rulemaking</w:t>
      </w:r>
    </w:p>
    <w:p>
      <w:pPr>
        <w:jc w:val="both"/>
        <w:spacing w:before="100" w:after="100"/>
        <w:ind w:start="360"/>
        <w:ind w:firstLine="360"/>
      </w:pPr>
      <w:r>
        <w:rPr/>
      </w:r>
      <w:r>
        <w:rPr/>
      </w:r>
      <w:r>
        <w:t xml:space="preserve">The department shall adopt routine technical rules as defined in </w:t>
      </w:r>
      <w:r>
        <w:t>Title 5, chapter 375, subchapter 2‑A</w:t>
      </w:r>
      <w:r>
        <w:t xml:space="preserve"> to implement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§3212.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§3212.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§3212.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