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589</w:t>
        <w:t xml:space="preserve">.  </w:t>
      </w:r>
      <w:r>
        <w:rPr>
          <w:b/>
        </w:rPr>
        <w:t xml:space="preserve">Exemption</w:t>
      </w:r>
    </w:p>
    <w:p>
      <w:pPr>
        <w:jc w:val="both"/>
        <w:spacing w:before="100" w:after="100"/>
        <w:ind w:start="360"/>
        <w:ind w:firstLine="360"/>
      </w:pPr>
      <w:r>
        <w:rPr/>
      </w:r>
      <w:r>
        <w:rPr/>
      </w:r>
      <w:r>
        <w:t xml:space="preserve">This subchapter does not apply to a person who, in the ordinary course of that person's business, regularly provides housing to the general public on a commercial basis and who provides to any agricultural laborer similar housing on the same or comparable terms and conditions as provided to the general public.  Agricultural labor housing may not be brought within this exception simply by offering lodging to the general public.</w:t>
      </w:r>
      <w:r>
        <w:t xml:space="preserve">  </w:t>
      </w:r>
      <w:r xmlns:wp="http://schemas.openxmlformats.org/drawingml/2010/wordprocessingDrawing" xmlns:w15="http://schemas.microsoft.com/office/word/2012/wordml">
        <w:rPr>
          <w:rFonts w:ascii="Arial" w:hAnsi="Arial" w:cs="Arial"/>
          <w:sz w:val="22"/>
          <w:szCs w:val="22"/>
        </w:rPr>
        <w:t xml:space="preserve">[PL 1997, c. 387,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§589.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§589.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§589.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