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§635. OVERCOMPENSATION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