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An employer may not by a special contract with an employee or by any other means be exempted from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RR 2023, c. 2, Pt. E,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§672. UNFAIR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