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849-A</w:t>
        <w:t xml:space="preserve">.  </w:t>
      </w:r>
      <w:r>
        <w:rPr>
          <w:b/>
        </w:rPr>
        <w:t xml:space="preserve">Rules</w:t>
      </w:r>
    </w:p>
    <w:p>
      <w:pPr>
        <w:jc w:val="both"/>
        <w:spacing w:before="100" w:after="100"/>
        <w:ind w:start="360"/>
        <w:ind w:firstLine="360"/>
      </w:pPr>
      <w:r>
        <w:rPr/>
      </w:r>
      <w:r>
        <w:rPr/>
      </w:r>
      <w:r>
        <w:t xml:space="preserve">The Department of Labor shall adopt rules to provide guidance in the application of this subchapter to domestic partners.  Rules adopted pursuant to this section are routine technical rules as defined in </w:t>
      </w:r>
      <w:r>
        <w:t>Title 5, chapter 375, subchapter 2‑A</w:t>
      </w:r>
      <w:r>
        <w:t xml:space="preserve">.  The department shall make the rules available on a publicly accessible website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567,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§849-A.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§849-A.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