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§934. CONCILIATION; NOTIFICATION OF DISPUTE; PROCEEDINGS IN SETTLEMENT;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