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that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shall make an award and written opinion, which must be published by the chair of the board and is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[RR 2023, c. 2, Pt. E, §45 (COR).]</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§937. Procedure in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Procedure in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§937. PROCEDURE IN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